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2D11FE54" w14:textId="2F31C558" w:rsidR="00261734" w:rsidRPr="0007500D" w:rsidRDefault="0007500D" w:rsidP="00261734">
      <w:pPr>
        <w:widowControl w:val="0"/>
        <w:spacing w:line="278" w:lineRule="auto"/>
        <w:contextualSpacing/>
        <w:jc w:val="center"/>
        <w:rPr>
          <w:sz w:val="32"/>
          <w:szCs w:val="32"/>
        </w:rPr>
      </w:pPr>
      <w:r w:rsidRPr="0007500D">
        <w:rPr>
          <w:sz w:val="32"/>
          <w:szCs w:val="32"/>
        </w:rPr>
        <w:t>HIPOCAMPO DORSAL E O COMPONENTE ESPACIAL DA MEMÓRIA SOCIAL: IMPLICAÇÕES PARA O RECONHECIMENTO SOCIAL</w:t>
      </w:r>
    </w:p>
    <w:p w14:paraId="677C1448" w14:textId="77777777" w:rsidR="00261734" w:rsidRDefault="00261734" w:rsidP="00261734">
      <w:pPr>
        <w:widowControl w:val="0"/>
        <w:spacing w:line="278" w:lineRule="auto"/>
        <w:contextualSpacing/>
      </w:pP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1FF25E42" w14:textId="16345AB4" w:rsidR="0007500D" w:rsidRDefault="0007500D" w:rsidP="0007500D">
      <w:pPr>
        <w:widowControl w:val="0"/>
        <w:spacing w:line="278" w:lineRule="auto"/>
        <w:contextualSpacing/>
        <w:jc w:val="center"/>
      </w:pPr>
      <w:r w:rsidRPr="00042AF3">
        <w:lastRenderedPageBreak/>
        <w:t>HIPOCAMPO DORSAL E O COMPONENTE ESPACIAL DA MEMÓRIA SOCIAL: IMPLICAÇÕES PARA O RECONHECIMENTO SOCIAL</w:t>
      </w:r>
    </w:p>
    <w:p w14:paraId="256E463C" w14:textId="12892BCA" w:rsidR="0007500D" w:rsidRDefault="0007500D" w:rsidP="0007500D">
      <w:pPr>
        <w:widowControl w:val="0"/>
        <w:spacing w:line="278" w:lineRule="auto"/>
        <w:contextualSpacing/>
        <w:jc w:val="center"/>
      </w:pP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 xml:space="preserve">Dissertação submetida ao Programa de Pós-Graduação em Ciências Biológicas: Fisiologia e Farmacologia da Universidade Federal de Minas Gerais, como parte dos requisitos necessários para a obtenção do título de Mestre em Fisiologia.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 xml:space="preserve">Orientadora: </w:t>
      </w:r>
    </w:p>
    <w:p w14:paraId="4A247977" w14:textId="77777777" w:rsidR="0007500D" w:rsidRDefault="0007500D" w:rsidP="0007500D">
      <w:pPr>
        <w:widowControl w:val="0"/>
        <w:spacing w:line="278" w:lineRule="auto"/>
        <w:ind w:left="5245"/>
        <w:contextualSpacing/>
      </w:pPr>
      <w:r>
        <w:t xml:space="preserve">Profa. Dra. Grace Schenatto Pereira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pgSz w:w="12240" w:h="15840"/>
          <w:pgMar w:top="1440" w:right="1440" w:bottom="1440" w:left="1440" w:header="720" w:footer="720" w:gutter="0"/>
          <w:cols w:space="720"/>
          <w:vAlign w:val="center"/>
          <w:titlePg/>
          <w:docGrid w:linePitch="360"/>
        </w:sectPr>
      </w:pPr>
      <w:r>
        <w:t>Prof. Dr. Márcio Flávio Dutra Moraes</w:t>
      </w:r>
    </w:p>
    <w:p w14:paraId="6BBA651C" w14:textId="0F33FFF1" w:rsidR="00261734" w:rsidRDefault="00261734" w:rsidP="00261734">
      <w:pPr>
        <w:widowControl w:val="0"/>
        <w:spacing w:line="278" w:lineRule="auto"/>
        <w:contextualSpacing/>
        <w:jc w:val="center"/>
      </w:pPr>
    </w:p>
    <w:p w14:paraId="026FF15A" w14:textId="5F8E2432" w:rsidR="004622E5" w:rsidRDefault="005E4CC1" w:rsidP="004622E5">
      <w:pPr>
        <w:widowControl w:val="0"/>
        <w:spacing w:line="278" w:lineRule="auto"/>
        <w:contextualSpacing/>
        <w:jc w:val="center"/>
      </w:pPr>
      <w:r>
        <w:t>AGRADECIMENT</w:t>
      </w:r>
      <w:r w:rsidR="004622E5">
        <w:t>O</w:t>
      </w:r>
      <w:r>
        <w:t>OS</w:t>
      </w:r>
    </w:p>
    <w:p w14:paraId="0650FA15" w14:textId="77777777" w:rsidR="00261734" w:rsidRDefault="00261734" w:rsidP="005E4CC1">
      <w:pPr>
        <w:widowControl w:val="0"/>
        <w:spacing w:line="278" w:lineRule="auto"/>
        <w:contextualSpacing/>
        <w:jc w:val="center"/>
        <w:sectPr w:rsidR="00261734" w:rsidSect="0026173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Ttulo1"/>
      </w:pPr>
      <w:bookmarkStart w:id="0" w:name="_Toc216257220"/>
      <w:r>
        <w:t>RESUMO</w:t>
      </w:r>
      <w:bookmarkEnd w:id="0"/>
    </w:p>
    <w:p w14:paraId="69D4574A" w14:textId="77777777" w:rsidR="00AB7B37" w:rsidRPr="00AB7B37" w:rsidRDefault="00AB7B37" w:rsidP="00AB7B37"/>
    <w:p w14:paraId="58208788" w14:textId="202BB48D" w:rsidR="0088724E" w:rsidRDefault="0088724E" w:rsidP="0088724E">
      <w:r>
        <w:t xml:space="preserve">A memória episódica é definida pela integração de componentes fundamentais da experiência, como a identidade do indivíduo ("quem") e o contexto espacial ("onde"). O hipocampo desempenha um papel central na organização dessas informações, atuando como um indexador de memórias sociais e espaciais. No entanto, a literatura ainda não esclareceu completamente como a instabilidade do contexto espacial impacta a evocação da memória social. O presente estudo teve como objetivo investigar a dependência contextual do reconhecimento social em camundongos C57BL/6 e, simultaneamente, desenvolver e validar uma ferramenta de análise comportamental automatizada baseada em redes neurais (DeepLabCut). Os animais foram submetidos à tarefa de reconhecimento social em dois cenários distintos: um ambiente familiar (estável) e um ambiente novo, contendo pistas multissensoriais modificadas. A quantificação do comportamento foi realizada manualmente e através do software desenvolvido (Behavython). Os resultados demonstraram que a memória social é um fenômeno robusto, sendo expressa tanto no contexto familiar quanto no novo, indicando que o reconhecimento do conspecífico persiste mesmo diante do remapeamento espacial. Observou-se, contudo, uma modulação na exploração total no ambiente novo, sugerindo uma competição atencional entre o processamento espacial e social. Adicionalmente, a ferramenta automatizada apresentou uma correlação forte e significativa </w:t>
      </w:r>
      <m:oMath>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 xml:space="preserve"> &gt; 0.98</m:t>
            </m:r>
          </m:e>
        </m:d>
        <m:r>
          <w:rPr>
            <w:rFonts w:ascii="Cambria Math" w:hAnsi="Cambria Math"/>
          </w:rPr>
          <m:t xml:space="preserve"> </m:t>
        </m:r>
      </m:oMath>
      <w:r>
        <w:t>com a análise manual, validando sua eficácia. Conclui-se que a representação da identidade social possui autonomia funcional frente a alterações ambientais e que a automação via estimativa de pose constitui um método preciso e escalável para a neurociência comportamental.</w:t>
      </w:r>
    </w:p>
    <w:p w14:paraId="72FC5DC5" w14:textId="77777777" w:rsidR="0088724E" w:rsidRDefault="0088724E" w:rsidP="0088724E"/>
    <w:p w14:paraId="6CE5B8EB" w14:textId="6A097B6D" w:rsidR="005E4CC1" w:rsidRDefault="0088724E" w:rsidP="0088724E">
      <w:r>
        <w:t>Palavras-chave: Memória Social; Hipocampo; Contexto Espacial; Reconhecimento Social; DeepLabCut; Análise Automatizada.</w:t>
      </w: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538FD6B7" w14:textId="30735D00" w:rsidR="0088724E" w:rsidRPr="0053738F" w:rsidRDefault="005E4CC1" w:rsidP="00AB7B37">
      <w:pPr>
        <w:pStyle w:val="Ttulo1"/>
        <w:rPr>
          <w:lang w:val="en-US"/>
        </w:rPr>
      </w:pPr>
      <w:bookmarkStart w:id="1" w:name="_Toc216257221"/>
      <w:r w:rsidRPr="0053738F">
        <w:rPr>
          <w:lang w:val="en-US"/>
        </w:rPr>
        <w:lastRenderedPageBreak/>
        <w:t>ABSTRACT</w:t>
      </w:r>
      <w:bookmarkEnd w:id="1"/>
    </w:p>
    <w:p w14:paraId="54C39966" w14:textId="77777777" w:rsidR="0088724E" w:rsidRPr="0053738F" w:rsidRDefault="0088724E" w:rsidP="0088724E">
      <w:pPr>
        <w:widowControl w:val="0"/>
        <w:spacing w:line="278" w:lineRule="auto"/>
        <w:contextualSpacing/>
        <w:rPr>
          <w:lang w:val="en-US"/>
        </w:rPr>
      </w:pPr>
    </w:p>
    <w:p w14:paraId="1E4CCD83" w14:textId="092738E8" w:rsidR="0088724E" w:rsidRPr="0088724E" w:rsidRDefault="0088724E" w:rsidP="0088724E">
      <w:pPr>
        <w:rPr>
          <w:lang w:val="en-US"/>
        </w:rPr>
      </w:pPr>
      <w:r w:rsidRPr="0088724E">
        <w:rPr>
          <w:lang w:val="en-US"/>
        </w:rPr>
        <w:t>Episodic memory is defined by the integration of fundamental experiential components, such as individual identity ("who") and spatial context ("where"). The hippocampus plays a central role in organizing this information, acting as an indexer for social and spatial memories. However, the literature has not yet fully clarified how spatial context instability impacts social memory retrieval. This study aimed to investigate the contextual dependency of social recognition in C57BL/6 mice and simultaneously develop and validate an automated behavioral analysis tool based on neural networks (DeepLabCut). The animals underwent a social recognition task in two distinct scenarios: a familiar (stable) environment and a novel environment containing modified multisensory cues. Behavior quantification was performed both manually and through the developed software (Behavython). The results demonstrated that social memory is a robust phenomenon, expressed in both familiar and novel contexts, indicating that conspecific recognition persists even in the face of spatial remapping. However, a modulation in total exploration was observed in the novel environment, suggesting an attentional competition between spatial and social processing. Additionally, the automated tool showed a strong and significant correlation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&gt; 0.98</m:t>
        </m:r>
      </m:oMath>
      <w:r w:rsidRPr="0088724E">
        <w:rPr>
          <w:lang w:val="en-US"/>
        </w:rPr>
        <w:t>) with manual analysis, validating its efficacy. We conclude that the representation of social identity possesses functional autonomy regarding environmental changes and that automation via pose estimation constitutes a precise and scalable method for behavioral neuroscience.</w:t>
      </w:r>
    </w:p>
    <w:p w14:paraId="0374E586" w14:textId="77777777" w:rsidR="0088724E" w:rsidRPr="0088724E" w:rsidRDefault="0088724E" w:rsidP="0088724E">
      <w:pPr>
        <w:rPr>
          <w:lang w:val="en-US"/>
        </w:rPr>
      </w:pPr>
    </w:p>
    <w:p w14:paraId="747B5078" w14:textId="77777777" w:rsidR="007B5C9D" w:rsidRDefault="0088724E" w:rsidP="0088724E">
      <w:pPr>
        <w:rPr>
          <w:lang w:val="en-US"/>
        </w:rPr>
        <w:sectPr w:rsidR="007B5C9D" w:rsidSect="00261734">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rPr>
          <w:rFonts w:ascii="Arial" w:eastAsiaTheme="minorHAnsi" w:hAnsi="Arial" w:cstheme="minorBidi"/>
          <w:color w:val="000000" w:themeColor="text1"/>
          <w:kern w:val="2"/>
          <w:sz w:val="24"/>
          <w:szCs w:val="24"/>
          <w:lang w:eastAsia="en-US"/>
          <w14:ligatures w14:val="standardContextual"/>
        </w:rPr>
        <w:id w:val="-1723672365"/>
        <w:docPartObj>
          <w:docPartGallery w:val="Table of Contents"/>
          <w:docPartUnique/>
        </w:docPartObj>
      </w:sdtPr>
      <w:sdtEndPr>
        <w:rPr>
          <w:b/>
          <w:bCs/>
        </w:rPr>
      </w:sdtEndPr>
      <w:sdtContent>
        <w:p w14:paraId="1A72C3DF" w14:textId="3A453CA7" w:rsidR="006F1902" w:rsidRPr="006F1902" w:rsidRDefault="006F1902">
          <w:pPr>
            <w:pStyle w:val="CabealhodoSumrio"/>
            <w:rPr>
              <w:rStyle w:val="Ttulo1Char"/>
            </w:rPr>
          </w:pPr>
          <w:r w:rsidRPr="006F1902">
            <w:rPr>
              <w:rStyle w:val="Ttulo1Char"/>
            </w:rPr>
            <w:t>Sumário</w:t>
          </w:r>
        </w:p>
        <w:p w14:paraId="0D3492BC" w14:textId="77777777" w:rsidR="006F1902" w:rsidRPr="006F1902" w:rsidRDefault="006F1902" w:rsidP="006F1902">
          <w:pPr>
            <w:rPr>
              <w:lang w:eastAsia="pt-BR"/>
            </w:rPr>
          </w:pPr>
        </w:p>
        <w:p w14:paraId="38BE276F" w14:textId="02EC72A5"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r w:rsidRPr="006F1902">
            <w:rPr>
              <w:sz w:val="20"/>
              <w:szCs w:val="20"/>
            </w:rPr>
            <w:fldChar w:fldCharType="begin"/>
          </w:r>
          <w:r w:rsidRPr="006F1902">
            <w:rPr>
              <w:sz w:val="20"/>
              <w:szCs w:val="20"/>
            </w:rPr>
            <w:instrText xml:space="preserve"> TOC \o "1-3" \h \z \u </w:instrText>
          </w:r>
          <w:r w:rsidRPr="006F1902">
            <w:rPr>
              <w:sz w:val="20"/>
              <w:szCs w:val="20"/>
            </w:rPr>
            <w:fldChar w:fldCharType="separate"/>
          </w:r>
          <w:hyperlink w:anchor="_Toc216257220" w:history="1">
            <w:r w:rsidRPr="006F1902">
              <w:rPr>
                <w:rStyle w:val="Hyperlink"/>
                <w:noProof/>
                <w:sz w:val="20"/>
                <w:szCs w:val="20"/>
              </w:rPr>
              <w:t>RESUMO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_Toc216257220 \h </w:instrText>
            </w:r>
            <w:r w:rsidRPr="006F1902">
              <w:rPr>
                <w:noProof/>
                <w:webHidden/>
                <w:sz w:val="20"/>
                <w:szCs w:val="20"/>
              </w:rPr>
            </w:r>
            <w:r w:rsidRPr="006F1902">
              <w:rPr>
                <w:noProof/>
                <w:webHidden/>
                <w:sz w:val="20"/>
                <w:szCs w:val="20"/>
              </w:rPr>
              <w:fldChar w:fldCharType="separate"/>
            </w:r>
            <w:r w:rsidR="00E11112">
              <w:rPr>
                <w:noProof/>
                <w:webHidden/>
                <w:sz w:val="20"/>
                <w:szCs w:val="20"/>
              </w:rPr>
              <w:t>4</w:t>
            </w:r>
            <w:r w:rsidRPr="006F1902">
              <w:rPr>
                <w:noProof/>
                <w:webHidden/>
                <w:sz w:val="20"/>
                <w:szCs w:val="20"/>
              </w:rPr>
              <w:fldChar w:fldCharType="end"/>
            </w:r>
          </w:hyperlink>
        </w:p>
        <w:p w14:paraId="71FB9208" w14:textId="3945B3D8"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1" w:history="1">
            <w:r w:rsidR="006F1902" w:rsidRPr="006F1902">
              <w:rPr>
                <w:rStyle w:val="Hyperlink"/>
                <w:noProof/>
                <w:sz w:val="20"/>
                <w:szCs w:val="20"/>
                <w:lang w:val="en-US"/>
              </w:rPr>
              <w:t>ABSTRACT</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5</w:t>
            </w:r>
            <w:r w:rsidR="006F1902" w:rsidRPr="006F1902">
              <w:rPr>
                <w:noProof/>
                <w:webHidden/>
                <w:sz w:val="20"/>
                <w:szCs w:val="20"/>
              </w:rPr>
              <w:fldChar w:fldCharType="end"/>
            </w:r>
          </w:hyperlink>
        </w:p>
        <w:p w14:paraId="5B1E2C66" w14:textId="2C7CB6F0"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2" w:history="1">
            <w:r w:rsidR="006F1902" w:rsidRPr="006F1902">
              <w:rPr>
                <w:rStyle w:val="Hyperlink"/>
                <w:noProof/>
                <w:sz w:val="20"/>
                <w:szCs w:val="20"/>
              </w:rPr>
              <w:t>INTRODUÇÃO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8</w:t>
            </w:r>
            <w:r w:rsidR="006F1902" w:rsidRPr="006F1902">
              <w:rPr>
                <w:noProof/>
                <w:webHidden/>
                <w:sz w:val="20"/>
                <w:szCs w:val="20"/>
              </w:rPr>
              <w:fldChar w:fldCharType="end"/>
            </w:r>
          </w:hyperlink>
        </w:p>
        <w:p w14:paraId="2F9A29AF" w14:textId="052FB02F"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3" w:history="1">
            <w:r w:rsidR="006F1902" w:rsidRPr="006F1902">
              <w:rPr>
                <w:rStyle w:val="Hyperlink"/>
                <w:noProof/>
                <w:sz w:val="20"/>
                <w:szCs w:val="20"/>
              </w:rPr>
              <w:t>A MEMÓRIA COMO O ARCABOUÇO DO TEMPO E ESPAÇO SUBJETIVOS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8</w:t>
            </w:r>
            <w:r w:rsidR="006F1902" w:rsidRPr="006F1902">
              <w:rPr>
                <w:noProof/>
                <w:webHidden/>
                <w:sz w:val="20"/>
                <w:szCs w:val="20"/>
              </w:rPr>
              <w:fldChar w:fldCharType="end"/>
            </w:r>
          </w:hyperlink>
        </w:p>
        <w:p w14:paraId="483DF63D" w14:textId="77A0E05B"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4" w:history="1">
            <w:r w:rsidR="006F1902" w:rsidRPr="006F1902">
              <w:rPr>
                <w:rStyle w:val="Hyperlink"/>
                <w:noProof/>
                <w:sz w:val="20"/>
                <w:szCs w:val="20"/>
              </w:rPr>
              <w:t>O HIPOCAMPO COMO BIBLIOTECÁRIO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11</w:t>
            </w:r>
            <w:r w:rsidR="006F1902" w:rsidRPr="006F1902">
              <w:rPr>
                <w:noProof/>
                <w:webHidden/>
                <w:sz w:val="20"/>
                <w:szCs w:val="20"/>
              </w:rPr>
              <w:fldChar w:fldCharType="end"/>
            </w:r>
          </w:hyperlink>
        </w:p>
        <w:p w14:paraId="0C1C6FEF" w14:textId="3A1079D0"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5" w:history="1">
            <w:r w:rsidR="006F1902" w:rsidRPr="006F1902">
              <w:rPr>
                <w:rStyle w:val="Hyperlink"/>
                <w:noProof/>
                <w:sz w:val="20"/>
                <w:szCs w:val="20"/>
              </w:rPr>
              <w:t>FERRAMENTAS DE IA NA AUTOMATIZAÇÃO DA ANÁLISE COMPORTAMENTAL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14</w:t>
            </w:r>
            <w:r w:rsidR="006F1902" w:rsidRPr="006F1902">
              <w:rPr>
                <w:noProof/>
                <w:webHidden/>
                <w:sz w:val="20"/>
                <w:szCs w:val="20"/>
              </w:rPr>
              <w:fldChar w:fldCharType="end"/>
            </w:r>
          </w:hyperlink>
        </w:p>
        <w:p w14:paraId="39FEDB46" w14:textId="08B7A321"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6" w:history="1">
            <w:r w:rsidR="006F1902" w:rsidRPr="006F1902">
              <w:rPr>
                <w:rStyle w:val="Hyperlink"/>
                <w:noProof/>
                <w:sz w:val="20"/>
                <w:szCs w:val="20"/>
              </w:rPr>
              <w:t>JUSTIFICATIVA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15</w:t>
            </w:r>
            <w:r w:rsidR="006F1902" w:rsidRPr="006F1902">
              <w:rPr>
                <w:noProof/>
                <w:webHidden/>
                <w:sz w:val="20"/>
                <w:szCs w:val="20"/>
              </w:rPr>
              <w:fldChar w:fldCharType="end"/>
            </w:r>
          </w:hyperlink>
        </w:p>
        <w:p w14:paraId="012ECFCB" w14:textId="1951BE79"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7" w:history="1">
            <w:r w:rsidR="006F1902" w:rsidRPr="006F1902">
              <w:rPr>
                <w:rStyle w:val="Hyperlink"/>
                <w:noProof/>
                <w:sz w:val="20"/>
                <w:szCs w:val="20"/>
              </w:rPr>
              <w:t>OBJETIVOS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7BE65D88" w14:textId="057A01F7"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8" w:history="1">
            <w:r w:rsidR="006F1902" w:rsidRPr="006F1902">
              <w:rPr>
                <w:rStyle w:val="Hyperlink"/>
                <w:noProof/>
                <w:sz w:val="20"/>
                <w:szCs w:val="20"/>
              </w:rPr>
              <w:t>OBJETIVO GERAL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4F9F32DA" w14:textId="7C997E21"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9" w:history="1">
            <w:r w:rsidR="006F1902" w:rsidRPr="006F1902">
              <w:rPr>
                <w:rStyle w:val="Hyperlink"/>
                <w:noProof/>
                <w:sz w:val="20"/>
                <w:szCs w:val="20"/>
              </w:rPr>
              <w:t>OBJETIVOS ESPECÍFICOS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_Toc216257229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296EB1BC" w14:textId="413D5680"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30" w:history="1">
            <w:r w:rsidR="006F1902" w:rsidRPr="006F1902">
              <w:rPr>
                <w:rStyle w:val="Hyperlink"/>
                <w:noProof/>
                <w:sz w:val="20"/>
                <w:szCs w:val="20"/>
              </w:rPr>
              <w:t>MATERIAIS E MÉTODOS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_Toc216257230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17</w:t>
            </w:r>
            <w:r w:rsidR="006F1902" w:rsidRPr="006F1902">
              <w:rPr>
                <w:noProof/>
                <w:webHidden/>
                <w:sz w:val="20"/>
                <w:szCs w:val="20"/>
              </w:rPr>
              <w:fldChar w:fldCharType="end"/>
            </w:r>
          </w:hyperlink>
        </w:p>
        <w:p w14:paraId="16A5394A" w14:textId="601DC599"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1" w:history="1">
            <w:r w:rsidR="006F1902" w:rsidRPr="006F1902">
              <w:rPr>
                <w:rStyle w:val="Hyperlink"/>
                <w:noProof/>
                <w:sz w:val="20"/>
                <w:szCs w:val="20"/>
              </w:rPr>
              <w:t>ANIMAIS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17</w:t>
            </w:r>
            <w:r w:rsidR="006F1902" w:rsidRPr="006F1902">
              <w:rPr>
                <w:noProof/>
                <w:webHidden/>
                <w:sz w:val="20"/>
                <w:szCs w:val="20"/>
              </w:rPr>
              <w:fldChar w:fldCharType="end"/>
            </w:r>
          </w:hyperlink>
        </w:p>
        <w:p w14:paraId="5B938401" w14:textId="366AF6E5"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2" w:history="1">
            <w:r w:rsidR="006F1902" w:rsidRPr="006F1902">
              <w:rPr>
                <w:rStyle w:val="Hyperlink"/>
                <w:noProof/>
                <w:sz w:val="20"/>
                <w:szCs w:val="20"/>
              </w:rPr>
              <w:t>TAREFA DE RECONHECIMENTO SOCIAL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18</w:t>
            </w:r>
            <w:r w:rsidR="006F1902" w:rsidRPr="006F1902">
              <w:rPr>
                <w:noProof/>
                <w:webHidden/>
                <w:sz w:val="20"/>
                <w:szCs w:val="20"/>
              </w:rPr>
              <w:fldChar w:fldCharType="end"/>
            </w:r>
          </w:hyperlink>
        </w:p>
        <w:p w14:paraId="453BF613" w14:textId="35AA9AE9"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3" w:history="1">
            <w:r w:rsidR="006F1902" w:rsidRPr="006F1902">
              <w:rPr>
                <w:rStyle w:val="Hyperlink"/>
                <w:noProof/>
                <w:sz w:val="20"/>
                <w:szCs w:val="20"/>
              </w:rPr>
              <w:t>QUANTIFICAÇÃO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20</w:t>
            </w:r>
            <w:r w:rsidR="006F1902" w:rsidRPr="006F1902">
              <w:rPr>
                <w:noProof/>
                <w:webHidden/>
                <w:sz w:val="20"/>
                <w:szCs w:val="20"/>
              </w:rPr>
              <w:fldChar w:fldCharType="end"/>
            </w:r>
          </w:hyperlink>
        </w:p>
        <w:p w14:paraId="285C1D55" w14:textId="0BAA2D97"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4" w:history="1">
            <w:r w:rsidR="006F1902" w:rsidRPr="006F1902">
              <w:rPr>
                <w:rStyle w:val="Hyperlink"/>
                <w:noProof/>
                <w:sz w:val="20"/>
                <w:szCs w:val="20"/>
              </w:rPr>
              <w:t>CÁLCULO DO TRIÂNGULO (GEOMETRIA DA CABEÇA)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23</w:t>
            </w:r>
            <w:r w:rsidR="006F1902" w:rsidRPr="006F1902">
              <w:rPr>
                <w:noProof/>
                <w:webHidden/>
                <w:sz w:val="20"/>
                <w:szCs w:val="20"/>
              </w:rPr>
              <w:fldChar w:fldCharType="end"/>
            </w:r>
          </w:hyperlink>
        </w:p>
        <w:p w14:paraId="70DE04F7" w14:textId="13E16BB1"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5" w:history="1">
            <w:r w:rsidR="006F1902" w:rsidRPr="006F1902">
              <w:rPr>
                <w:rStyle w:val="Hyperlink"/>
                <w:noProof/>
                <w:sz w:val="20"/>
                <w:szCs w:val="20"/>
              </w:rPr>
              <w:t>CÁLCULO DO LIMIAR (VETOR DE INVESTIGAÇÃO)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23</w:t>
            </w:r>
            <w:r w:rsidR="006F1902" w:rsidRPr="006F1902">
              <w:rPr>
                <w:noProof/>
                <w:webHidden/>
                <w:sz w:val="20"/>
                <w:szCs w:val="20"/>
              </w:rPr>
              <w:fldChar w:fldCharType="end"/>
            </w:r>
          </w:hyperlink>
        </w:p>
        <w:p w14:paraId="107175B0" w14:textId="2A4EFFC6"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6" w:history="1">
            <w:r w:rsidR="006F1902" w:rsidRPr="006F1902">
              <w:rPr>
                <w:rStyle w:val="Hyperlink"/>
                <w:noProof/>
                <w:sz w:val="20"/>
                <w:szCs w:val="20"/>
              </w:rPr>
              <w:t>DETECÇÃO DE COLISÕES (QUANTIFICAÇÃO DA INVESTIGAÇÃO)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24</w:t>
            </w:r>
            <w:r w:rsidR="006F1902" w:rsidRPr="006F1902">
              <w:rPr>
                <w:noProof/>
                <w:webHidden/>
                <w:sz w:val="20"/>
                <w:szCs w:val="20"/>
              </w:rPr>
              <w:fldChar w:fldCharType="end"/>
            </w:r>
          </w:hyperlink>
        </w:p>
        <w:p w14:paraId="6BBCA173" w14:textId="122B7BB1"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7" w:history="1">
            <w:r w:rsidR="006F1902" w:rsidRPr="006F1902">
              <w:rPr>
                <w:rStyle w:val="Hyperlink"/>
                <w:noProof/>
                <w:sz w:val="20"/>
                <w:szCs w:val="20"/>
              </w:rPr>
              <w:t>ANÁLISE DE ATIVIDADE LOCOMOTORA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24</w:t>
            </w:r>
            <w:r w:rsidR="006F1902" w:rsidRPr="006F1902">
              <w:rPr>
                <w:noProof/>
                <w:webHidden/>
                <w:sz w:val="20"/>
                <w:szCs w:val="20"/>
              </w:rPr>
              <w:fldChar w:fldCharType="end"/>
            </w:r>
          </w:hyperlink>
        </w:p>
        <w:p w14:paraId="3E8AA1AD" w14:textId="716502D6"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8" w:history="1">
            <w:r w:rsidR="006F1902" w:rsidRPr="006F1902">
              <w:rPr>
                <w:rStyle w:val="Hyperlink"/>
                <w:noProof/>
                <w:sz w:val="20"/>
                <w:szCs w:val="20"/>
              </w:rPr>
              <w:t>PADRONIZAÇÃO PILOTO DA PLATAFORMA DE IMAGEAMENTO DE CÁLCIO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26</w:t>
            </w:r>
            <w:r w:rsidR="006F1902" w:rsidRPr="006F1902">
              <w:rPr>
                <w:noProof/>
                <w:webHidden/>
                <w:sz w:val="20"/>
                <w:szCs w:val="20"/>
              </w:rPr>
              <w:fldChar w:fldCharType="end"/>
            </w:r>
          </w:hyperlink>
        </w:p>
        <w:p w14:paraId="67694F13" w14:textId="42E1E00B"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9" w:history="1">
            <w:r w:rsidR="006F1902" w:rsidRPr="006F1902">
              <w:rPr>
                <w:rStyle w:val="Hyperlink"/>
                <w:noProof/>
                <w:sz w:val="20"/>
                <w:szCs w:val="20"/>
              </w:rPr>
              <w:t>PREPARAÇÃO PARA A ASPIRAÇÃO TECIDUAL E CRANIOTOMIA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_Toc216257239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28</w:t>
            </w:r>
            <w:r w:rsidR="006F1902" w:rsidRPr="006F1902">
              <w:rPr>
                <w:noProof/>
                <w:webHidden/>
                <w:sz w:val="20"/>
                <w:szCs w:val="20"/>
              </w:rPr>
              <w:fldChar w:fldCharType="end"/>
            </w:r>
          </w:hyperlink>
        </w:p>
        <w:p w14:paraId="4E0B74F4" w14:textId="79D91F5F"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0" w:history="1">
            <w:r w:rsidR="006F1902" w:rsidRPr="006F1902">
              <w:rPr>
                <w:rStyle w:val="Hyperlink"/>
                <w:noProof/>
                <w:sz w:val="20"/>
                <w:szCs w:val="20"/>
              </w:rPr>
              <w:t>PREPARAÇÃO DE SUPORTE PARA INSERÇÃO DA LENTE GRIN</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_Toc216257240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29</w:t>
            </w:r>
            <w:r w:rsidR="006F1902" w:rsidRPr="006F1902">
              <w:rPr>
                <w:noProof/>
                <w:webHidden/>
                <w:sz w:val="20"/>
                <w:szCs w:val="20"/>
              </w:rPr>
              <w:fldChar w:fldCharType="end"/>
            </w:r>
          </w:hyperlink>
        </w:p>
        <w:p w14:paraId="28928172" w14:textId="15B93398" w:rsidR="006F1902" w:rsidRPr="006F1902" w:rsidRDefault="00033749">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1" w:history="1">
            <w:r w:rsidR="006F1902" w:rsidRPr="006F1902">
              <w:rPr>
                <w:rStyle w:val="Hyperlink"/>
                <w:noProof/>
                <w:sz w:val="20"/>
                <w:szCs w:val="20"/>
              </w:rPr>
              <w:t>SUPORTE AUXILIAR PARA ESTABILIZAÇÃO DA LENTE NO ESTEREOTÁXICO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32</w:t>
            </w:r>
            <w:r w:rsidR="006F1902" w:rsidRPr="006F1902">
              <w:rPr>
                <w:noProof/>
                <w:webHidden/>
                <w:sz w:val="20"/>
                <w:szCs w:val="20"/>
              </w:rPr>
              <w:fldChar w:fldCharType="end"/>
            </w:r>
          </w:hyperlink>
        </w:p>
        <w:p w14:paraId="177CACDC" w14:textId="13A69F46"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2" w:history="1">
            <w:r w:rsidR="006F1902" w:rsidRPr="006F1902">
              <w:rPr>
                <w:rStyle w:val="Hyperlink"/>
                <w:noProof/>
                <w:sz w:val="20"/>
                <w:szCs w:val="20"/>
              </w:rPr>
              <w:t>RESULTADOS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33</w:t>
            </w:r>
            <w:r w:rsidR="006F1902" w:rsidRPr="006F1902">
              <w:rPr>
                <w:noProof/>
                <w:webHidden/>
                <w:sz w:val="20"/>
                <w:szCs w:val="20"/>
              </w:rPr>
              <w:fldChar w:fldCharType="end"/>
            </w:r>
          </w:hyperlink>
        </w:p>
        <w:p w14:paraId="2500417A" w14:textId="79DA2FF2"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3" w:history="1">
            <w:r w:rsidR="006F1902" w:rsidRPr="006F1902">
              <w:rPr>
                <w:rStyle w:val="Hyperlink"/>
                <w:noProof/>
                <w:sz w:val="20"/>
                <w:szCs w:val="20"/>
              </w:rPr>
              <w:t>OS ANIMAIS SÃO CAPAZES DE EXPRESSAR MEMÓRIA SOCIAL NO CONTEXTO A, EM AMBOS MÉTODOS DE ANÁLISE</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33</w:t>
            </w:r>
            <w:r w:rsidR="006F1902" w:rsidRPr="006F1902">
              <w:rPr>
                <w:noProof/>
                <w:webHidden/>
                <w:sz w:val="20"/>
                <w:szCs w:val="20"/>
              </w:rPr>
              <w:fldChar w:fldCharType="end"/>
            </w:r>
          </w:hyperlink>
        </w:p>
        <w:p w14:paraId="15DC98B9" w14:textId="1BD20583"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4" w:history="1">
            <w:r w:rsidR="006F1902" w:rsidRPr="006F1902">
              <w:rPr>
                <w:rStyle w:val="Hyperlink"/>
                <w:noProof/>
                <w:sz w:val="20"/>
                <w:szCs w:val="20"/>
              </w:rPr>
              <w:t>OS ANIMAIS SÃO CAPAZES DE EXPRESSAR MEMÓRIA SOCIAL NO CONTEXTO B, EM AMBOS MÉTODOS DE ANÁLISE</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36</w:t>
            </w:r>
            <w:r w:rsidR="006F1902" w:rsidRPr="006F1902">
              <w:rPr>
                <w:noProof/>
                <w:webHidden/>
                <w:sz w:val="20"/>
                <w:szCs w:val="20"/>
              </w:rPr>
              <w:fldChar w:fldCharType="end"/>
            </w:r>
          </w:hyperlink>
        </w:p>
        <w:p w14:paraId="4ADBBBE9" w14:textId="66C62085" w:rsidR="006F1902" w:rsidRPr="006F1902" w:rsidRDefault="00033749">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5" w:history="1">
            <w:r w:rsidR="006F1902" w:rsidRPr="006F1902">
              <w:rPr>
                <w:rStyle w:val="Hyperlink"/>
                <w:noProof/>
                <w:sz w:val="20"/>
                <w:szCs w:val="20"/>
              </w:rPr>
              <w:t>EXISTE UMA CORRELAÇÃO ENTRE A ANÁLISE AUTOMÁTICA E MANUAL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38</w:t>
            </w:r>
            <w:r w:rsidR="006F1902" w:rsidRPr="006F1902">
              <w:rPr>
                <w:noProof/>
                <w:webHidden/>
                <w:sz w:val="20"/>
                <w:szCs w:val="20"/>
              </w:rPr>
              <w:fldChar w:fldCharType="end"/>
            </w:r>
          </w:hyperlink>
        </w:p>
        <w:p w14:paraId="6AC4B727" w14:textId="309D35DC"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6" w:history="1">
            <w:r w:rsidR="006F1902" w:rsidRPr="006F1902">
              <w:rPr>
                <w:rStyle w:val="Hyperlink"/>
                <w:noProof/>
                <w:sz w:val="20"/>
                <w:szCs w:val="20"/>
              </w:rPr>
              <w:t>DISCUSSÃO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39</w:t>
            </w:r>
            <w:r w:rsidR="006F1902" w:rsidRPr="006F1902">
              <w:rPr>
                <w:noProof/>
                <w:webHidden/>
                <w:sz w:val="20"/>
                <w:szCs w:val="20"/>
              </w:rPr>
              <w:fldChar w:fldCharType="end"/>
            </w:r>
          </w:hyperlink>
        </w:p>
        <w:p w14:paraId="17B34762" w14:textId="0DB53C67"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7" w:history="1">
            <w:r w:rsidR="006F1902" w:rsidRPr="006F1902">
              <w:rPr>
                <w:rStyle w:val="Hyperlink"/>
                <w:noProof/>
                <w:sz w:val="20"/>
                <w:szCs w:val="20"/>
              </w:rPr>
              <w:t>CONCLUSÃO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42</w:t>
            </w:r>
            <w:r w:rsidR="006F1902" w:rsidRPr="006F1902">
              <w:rPr>
                <w:noProof/>
                <w:webHidden/>
                <w:sz w:val="20"/>
                <w:szCs w:val="20"/>
              </w:rPr>
              <w:fldChar w:fldCharType="end"/>
            </w:r>
          </w:hyperlink>
        </w:p>
        <w:p w14:paraId="53C649F3" w14:textId="7927D509" w:rsidR="006F1902" w:rsidRPr="006F1902" w:rsidRDefault="00033749">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8" w:history="1">
            <w:r w:rsidR="006F1902" w:rsidRPr="006F1902">
              <w:rPr>
                <w:rStyle w:val="Hyperlink"/>
                <w:noProof/>
                <w:sz w:val="20"/>
                <w:szCs w:val="20"/>
              </w:rPr>
              <w:t>REFERÊNCIAS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43</w:t>
            </w:r>
            <w:r w:rsidR="006F1902" w:rsidRPr="006F1902">
              <w:rPr>
                <w:noProof/>
                <w:webHidden/>
                <w:sz w:val="20"/>
                <w:szCs w:val="20"/>
              </w:rPr>
              <w:fldChar w:fldCharType="end"/>
            </w:r>
          </w:hyperlink>
        </w:p>
        <w:p w14:paraId="3FD0FBA2" w14:textId="790FD6D3" w:rsidR="006F1902" w:rsidRDefault="006F1902">
          <w:r w:rsidRPr="006F1902">
            <w:rPr>
              <w:b/>
              <w:bCs/>
              <w:sz w:val="20"/>
              <w:szCs w:val="20"/>
            </w:rPr>
            <w:fldChar w:fldCharType="end"/>
          </w:r>
        </w:p>
      </w:sdtContent>
    </w:sdt>
    <w:p w14:paraId="26F9F0EA" w14:textId="502D139B" w:rsidR="005E4CC1" w:rsidRPr="0088724E" w:rsidRDefault="005E4CC1" w:rsidP="0088724E">
      <w:pPr>
        <w:widowControl w:val="0"/>
        <w:spacing w:line="278" w:lineRule="auto"/>
        <w:contextualSpacing/>
        <w:rPr>
          <w:lang w:val="en-US"/>
        </w:rPr>
      </w:pPr>
      <w:r w:rsidRPr="0088724E">
        <w:rPr>
          <w:lang w:val="en-US"/>
        </w:rPr>
        <w:br w:type="page"/>
      </w:r>
    </w:p>
    <w:p w14:paraId="77AA4374" w14:textId="238B02DF" w:rsidR="00465C19" w:rsidRDefault="00465C19" w:rsidP="008C05D2">
      <w:pPr>
        <w:pStyle w:val="Ttulo1"/>
      </w:pPr>
      <w:bookmarkStart w:id="2" w:name="_Toc216257222"/>
      <w:r>
        <w:lastRenderedPageBreak/>
        <w:t>INTRODUÇÃO</w:t>
      </w:r>
      <w:bookmarkEnd w:id="2"/>
    </w:p>
    <w:p w14:paraId="5D30B1BB" w14:textId="77777777" w:rsidR="00462D8B" w:rsidRDefault="00462D8B" w:rsidP="00462D8B"/>
    <w:p w14:paraId="51F8CFF1" w14:textId="59F59B4F" w:rsidR="002F6043" w:rsidRDefault="008D187E" w:rsidP="00351C49">
      <w:pPr>
        <w:pStyle w:val="Ttulo2"/>
      </w:pPr>
      <w:bookmarkStart w:id="3" w:name="_Toc216257223"/>
      <w:r>
        <w:rPr>
          <w:caps w:val="0"/>
        </w:rPr>
        <w:t>A MEMÓRIA COMO O ARCABOUÇO DO TEMPO E ESPAÇO SUBJETIVOS</w:t>
      </w:r>
      <w:bookmarkEnd w:id="3"/>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1F540A7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112645"/>
                    </a:xfrm>
                    <a:prstGeom prst="rect">
                      <a:avLst/>
                    </a:prstGeom>
                  </pic:spPr>
                </pic:pic>
              </a:graphicData>
            </a:graphic>
          </wp:inline>
        </w:drawing>
      </w:r>
    </w:p>
    <w:p w14:paraId="135E4244" w14:textId="4ABC13C4" w:rsidR="00B03788" w:rsidRPr="005442FE" w:rsidRDefault="00B03788" w:rsidP="00B03788">
      <w:pPr>
        <w:rPr>
          <w:rStyle w:val="Forte"/>
          <w:i/>
          <w:iCs/>
          <w:sz w:val="18"/>
          <w:szCs w:val="18"/>
        </w:rPr>
      </w:pPr>
      <w:r w:rsidRPr="005442FE">
        <w:rPr>
          <w:i/>
          <w:iCs/>
          <w:sz w:val="18"/>
          <w:szCs w:val="18"/>
        </w:rPr>
        <w:t xml:space="preserve">Figura 1 - </w:t>
      </w:r>
      <w:r w:rsidRPr="005442FE">
        <w:rPr>
          <w:rStyle w:val="nfase"/>
          <w:i w:val="0"/>
          <w:iCs w:val="0"/>
          <w:sz w:val="18"/>
          <w:szCs w:val="18"/>
        </w:rPr>
        <w:t>Esquema conceitual da taxonomia da memória, ilustrando a organização hierárquica entre os diferentes sistemas e modalidades mnemônicas, incluindo memória declarativa e não declarativa, bem como suas principais subdivisões funcionais</w:t>
      </w:r>
      <w:r w:rsidRPr="005442FE">
        <w:rPr>
          <w:rStyle w:val="nfase"/>
          <w:b/>
          <w:bCs/>
          <w:sz w:val="18"/>
          <w:szCs w:val="18"/>
        </w:rPr>
        <w:t>.</w:t>
      </w:r>
      <w:r w:rsidRPr="005442FE">
        <w:rPr>
          <w:b/>
          <w:bCs/>
          <w:sz w:val="18"/>
          <w:szCs w:val="18"/>
        </w:rPr>
        <w:t xml:space="preserve"> </w:t>
      </w:r>
      <w:r w:rsidRPr="005442FE">
        <w:rPr>
          <w:rStyle w:val="Forte"/>
          <w:b w:val="0"/>
          <w:bCs w:val="0"/>
          <w:sz w:val="18"/>
          <w:szCs w:val="18"/>
        </w:rPr>
        <w:t>Adaptado de Kandel et al.,</w:t>
      </w:r>
      <w:r w:rsidRPr="005442FE">
        <w:rPr>
          <w:rStyle w:val="Forte"/>
          <w:i/>
          <w:iCs/>
          <w:sz w:val="18"/>
          <w:szCs w:val="18"/>
        </w:rPr>
        <w:t xml:space="preserve"> </w:t>
      </w:r>
      <w:r w:rsidRPr="005442FE">
        <w:rPr>
          <w:rStyle w:val="nfase"/>
          <w:i w:val="0"/>
          <w:iCs w:val="0"/>
          <w:sz w:val="18"/>
          <w:szCs w:val="18"/>
        </w:rPr>
        <w:t>Princípios de Neurociências</w:t>
      </w:r>
      <w:r w:rsidRPr="005442FE">
        <w:rPr>
          <w:rStyle w:val="Forte"/>
          <w:i/>
          <w:iCs/>
          <w:sz w:val="18"/>
          <w:szCs w:val="18"/>
        </w:rPr>
        <w:t xml:space="preserve">, </w:t>
      </w:r>
      <w:r w:rsidRPr="005442FE">
        <w:rPr>
          <w:rStyle w:val="Forte"/>
          <w:b w:val="0"/>
          <w:bCs w:val="0"/>
          <w:sz w:val="18"/>
          <w:szCs w:val="18"/>
        </w:rPr>
        <w:t>5ª ed.</w:t>
      </w:r>
    </w:p>
    <w:p w14:paraId="4B549A99" w14:textId="77777777" w:rsidR="00B03788" w:rsidRPr="00B03788" w:rsidRDefault="00B03788" w:rsidP="00B03788">
      <w:pPr>
        <w:rPr>
          <w:sz w:val="20"/>
          <w:szCs w:val="20"/>
        </w:rPr>
      </w:pPr>
    </w:p>
    <w:p w14:paraId="158F781D" w14:textId="3AF63BBB" w:rsidR="0096274D" w:rsidRDefault="0096274D" w:rsidP="0053738F">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w:t>
      </w:r>
      <w:r>
        <w:lastRenderedPageBreak/>
        <w:t xml:space="preserve">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(Conway &amp; Pleydell-</w:t>
      </w:r>
      <w:r w:rsidR="007F237D" w:rsidRPr="007F237D">
        <w:rPr>
          <w:rFonts w:cs="Arial"/>
        </w:rPr>
        <w:lastRenderedPageBreak/>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relacionais é uma ferramenta adaptativa para a navegação em ambientes interativos e hierarquicamente estruturados (Chase et al., 2002; </w:t>
      </w:r>
      <w:proofErr w:type="spellStart"/>
      <w:r>
        <w:t>Okuyama</w:t>
      </w:r>
      <w:proofErr w:type="spellEnd"/>
      <w:r>
        <w:t>,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351C49">
      <w:pPr>
        <w:pStyle w:val="Ttulo2"/>
      </w:pPr>
      <w:bookmarkStart w:id="4" w:name="_Toc216257224"/>
      <w:r>
        <w:lastRenderedPageBreak/>
        <w:t>O HIPOCAMPO COMO BIBLIOTECÁRIO</w:t>
      </w:r>
      <w:bookmarkEnd w:id="4"/>
    </w:p>
    <w:p w14:paraId="1C576D6B" w14:textId="5606A071" w:rsidR="002F6043" w:rsidRDefault="002F6043" w:rsidP="002F6043"/>
    <w:p w14:paraId="234A528C" w14:textId="77777777" w:rsidR="005442FE" w:rsidRDefault="006036AA" w:rsidP="00E86144">
      <w:pPr>
        <w:ind w:firstLine="720"/>
        <w:rPr>
          <w:rFonts w:cs="Arial"/>
        </w:rPr>
      </w:pPr>
      <w:r w:rsidRPr="00AF4CFC">
        <w:rPr>
          <w:rFonts w:cs="Arial"/>
        </w:rPr>
        <w:t xml:space="preserve">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w:t>
      </w:r>
    </w:p>
    <w:p w14:paraId="4C3B5F5F" w14:textId="6F286269"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77777777" w:rsidR="005442FE" w:rsidRDefault="00E86144" w:rsidP="00E86144">
      <w:pPr>
        <w:ind w:firstLine="720"/>
        <w:rPr>
          <w:rFonts w:cs="Arial"/>
        </w:rPr>
      </w:pPr>
      <w:r w:rsidRPr="00E86144">
        <w:rPr>
          <w:rFonts w:cs="Arial"/>
        </w:rPr>
        <w:t xml:space="preserve">Essa expansão funcional reflete uma complexa organização </w:t>
      </w:r>
      <w:proofErr w:type="spellStart"/>
      <w:r w:rsidRPr="00E86144">
        <w:rPr>
          <w:rFonts w:cs="Arial"/>
        </w:rPr>
        <w:t>neuroanatômica</w:t>
      </w:r>
      <w:proofErr w:type="spellEnd"/>
      <w:r w:rsidRPr="00E86144">
        <w:rPr>
          <w:rFonts w:cs="Arial"/>
        </w:rPr>
        <w:t xml:space="preserve">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 xml:space="preserve">(Dudai,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77777777" w:rsidR="005442FE" w:rsidRDefault="00E86144" w:rsidP="00E86144">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(Dudai, 2002)</w:t>
      </w:r>
      <w:r w:rsidR="007F237D">
        <w:rPr>
          <w:rFonts w:cs="Arial"/>
        </w:rPr>
        <w:fldChar w:fldCharType="end"/>
      </w:r>
      <w:r w:rsidR="007F237D">
        <w:rPr>
          <w:rFonts w:cs="Arial"/>
        </w:rPr>
        <w:t xml:space="preserve">. </w:t>
      </w:r>
    </w:p>
    <w:p w14:paraId="2CA6014E" w14:textId="17AA213D" w:rsidR="00E86144" w:rsidRDefault="00E86144" w:rsidP="00E86144">
      <w:pPr>
        <w:ind w:firstLine="720"/>
        <w:rPr>
          <w:rFonts w:cs="Arial"/>
        </w:rPr>
      </w:pPr>
      <w:r w:rsidRPr="00E86144">
        <w:rPr>
          <w:rFonts w:cs="Arial"/>
        </w:rPr>
        <w:t xml:space="preserve">Dentro dessa organização estrutural temos a circuitaria integrada do hipocampo denominada classicamente como via </w:t>
      </w:r>
      <w:proofErr w:type="spellStart"/>
      <w:r w:rsidRPr="00E86144">
        <w:rPr>
          <w:rFonts w:cs="Arial"/>
        </w:rPr>
        <w:t>trissináptica</w:t>
      </w:r>
      <w:proofErr w:type="spellEnd"/>
      <w:r w:rsidRPr="00E86144">
        <w:rPr>
          <w:rFonts w:cs="Arial"/>
        </w:rPr>
        <w:t xml:space="preserve"> é caracterizada por projeções vindas do córtex entorrinal para o giro denteado através da via </w:t>
      </w:r>
      <w:proofErr w:type="spellStart"/>
      <w:r w:rsidRPr="00E86144">
        <w:rPr>
          <w:rFonts w:cs="Arial"/>
        </w:rPr>
        <w:t>perforante</w:t>
      </w:r>
      <w:proofErr w:type="spellEnd"/>
      <w:r w:rsidRPr="00E86144">
        <w:rPr>
          <w:rFonts w:cs="Arial"/>
        </w:rPr>
        <w:t xml:space="preserve">, seguindo para CA3 por meio das fibras musgosas e de CA3 para CA1 através do colateral de </w:t>
      </w:r>
      <w:proofErr w:type="spellStart"/>
      <w:r w:rsidRPr="00E86144">
        <w:rPr>
          <w:rFonts w:cs="Arial"/>
        </w:rPr>
        <w:t>Schaffer</w:t>
      </w:r>
      <w:proofErr w:type="spellEnd"/>
      <w:r w:rsidRPr="00E86144">
        <w:rPr>
          <w:rFonts w:cs="Arial"/>
        </w:rPr>
        <w:t>.</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FE687F">
            <wp:extent cx="5944818" cy="468782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618" cy="4837492"/>
                    </a:xfrm>
                    <a:prstGeom prst="rect">
                      <a:avLst/>
                    </a:prstGeom>
                    <a:noFill/>
                    <a:ln>
                      <a:noFill/>
                    </a:ln>
                  </pic:spPr>
                </pic:pic>
              </a:graphicData>
            </a:graphic>
          </wp:inline>
        </w:drawing>
      </w:r>
    </w:p>
    <w:p w14:paraId="78A0EF82" w14:textId="3808B8B1" w:rsidR="005442FE" w:rsidRPr="00E76E77" w:rsidRDefault="005442FE" w:rsidP="005442FE">
      <w:pPr>
        <w:rPr>
          <w:rFonts w:cs="Arial"/>
          <w:sz w:val="18"/>
          <w:szCs w:val="18"/>
        </w:rPr>
      </w:pPr>
      <w:r w:rsidRPr="005442FE">
        <w:rPr>
          <w:rFonts w:cs="Arial"/>
          <w:sz w:val="18"/>
          <w:szCs w:val="18"/>
        </w:rPr>
        <w:t xml:space="preserve">Figura 2 - Representação esquemática da organização anatômica e funcional da formação hipocampal, destacando a circuitaria clássica da via </w:t>
      </w:r>
      <w:proofErr w:type="spellStart"/>
      <w:r w:rsidRPr="005442FE">
        <w:rPr>
          <w:rFonts w:cs="Arial"/>
          <w:sz w:val="18"/>
          <w:szCs w:val="18"/>
        </w:rPr>
        <w:t>trissináptica</w:t>
      </w:r>
      <w:proofErr w:type="spellEnd"/>
      <w:r w:rsidRPr="005442FE">
        <w:rPr>
          <w:rFonts w:cs="Arial"/>
          <w:sz w:val="18"/>
          <w:szCs w:val="18"/>
        </w:rPr>
        <w:t xml:space="preserve">. Observa-se o fluxo de informações oriundo do córtex entorrinal (EC) em direção ao giro denteado (DG) por meio da via </w:t>
      </w:r>
      <w:proofErr w:type="spellStart"/>
      <w:r w:rsidRPr="005442FE">
        <w:rPr>
          <w:rFonts w:cs="Arial"/>
          <w:sz w:val="18"/>
          <w:szCs w:val="18"/>
        </w:rPr>
        <w:t>perforante</w:t>
      </w:r>
      <w:proofErr w:type="spellEnd"/>
      <w:r w:rsidRPr="005442FE">
        <w:rPr>
          <w:rFonts w:cs="Arial"/>
          <w:sz w:val="18"/>
          <w:szCs w:val="18"/>
        </w:rPr>
        <w:t xml:space="preserve">, a projeção subsequente das fibras musgosas do giro denteado para a região CA3, e, por fim, a conexão de CA3 para CA1 através dos colaterais de </w:t>
      </w:r>
      <w:proofErr w:type="spellStart"/>
      <w:r w:rsidRPr="005442FE">
        <w:rPr>
          <w:rFonts w:cs="Arial"/>
          <w:sz w:val="18"/>
          <w:szCs w:val="18"/>
        </w:rPr>
        <w:t>Schaffer</w:t>
      </w:r>
      <w:proofErr w:type="spellEnd"/>
      <w:r w:rsidRPr="005442FE">
        <w:rPr>
          <w:rFonts w:cs="Arial"/>
          <w:sz w:val="18"/>
          <w:szCs w:val="18"/>
        </w:rPr>
        <w:t xml:space="preserve">. A figura também evidencia a integração entre os subcampos </w:t>
      </w:r>
      <w:proofErr w:type="spellStart"/>
      <w:r w:rsidRPr="005442FE">
        <w:rPr>
          <w:rFonts w:cs="Arial"/>
          <w:sz w:val="18"/>
          <w:szCs w:val="18"/>
        </w:rPr>
        <w:t>hipocampais</w:t>
      </w:r>
      <w:proofErr w:type="spellEnd"/>
      <w:r w:rsidRPr="005442FE">
        <w:rPr>
          <w:rFonts w:cs="Arial"/>
          <w:sz w:val="18"/>
          <w:szCs w:val="18"/>
        </w:rPr>
        <w:t xml:space="preserve"> (CA1–CA3), o complexo </w:t>
      </w:r>
      <w:proofErr w:type="spellStart"/>
      <w:r w:rsidRPr="005442FE">
        <w:rPr>
          <w:rFonts w:cs="Arial"/>
          <w:sz w:val="18"/>
          <w:szCs w:val="18"/>
        </w:rPr>
        <w:t>subicular</w:t>
      </w:r>
      <w:proofErr w:type="spellEnd"/>
      <w:r w:rsidRPr="005442FE">
        <w:rPr>
          <w:rFonts w:cs="Arial"/>
          <w:sz w:val="18"/>
          <w:szCs w:val="18"/>
        </w:rPr>
        <w:t xml:space="preserve"> e as áreas corticais adjacentes ao longo dos eixos longitudinal e transversal da formação hipocampal. </w:t>
      </w:r>
      <w:r w:rsidRPr="00E76E77">
        <w:rPr>
          <w:rFonts w:cs="Arial"/>
          <w:sz w:val="18"/>
          <w:szCs w:val="18"/>
        </w:rPr>
        <w:t xml:space="preserve">Adaptado de Andersen et al., The </w:t>
      </w:r>
      <w:proofErr w:type="spellStart"/>
      <w:r w:rsidRPr="00E76E77">
        <w:rPr>
          <w:rFonts w:cs="Arial"/>
          <w:sz w:val="18"/>
          <w:szCs w:val="18"/>
        </w:rPr>
        <w:t>Hippocampus</w:t>
      </w:r>
      <w:proofErr w:type="spellEnd"/>
      <w:r w:rsidRPr="00E76E77">
        <w:rPr>
          <w:rFonts w:cs="Arial"/>
          <w:sz w:val="18"/>
          <w:szCs w:val="18"/>
        </w:rPr>
        <w:t xml:space="preserve"> Book 2, 2024.</w:t>
      </w:r>
    </w:p>
    <w:p w14:paraId="30DB1460" w14:textId="77777777" w:rsidR="005442FE" w:rsidRPr="00E76E77" w:rsidRDefault="005442FE" w:rsidP="005442FE">
      <w:pPr>
        <w:ind w:firstLine="720"/>
        <w:jc w:val="center"/>
        <w:rPr>
          <w:rFonts w:cs="Arial"/>
        </w:rPr>
      </w:pP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 xml:space="preserve">Essa segmentação funcional sugere que diferentes partes do hipocampo podem </w:t>
      </w:r>
      <w:r w:rsidRPr="00E86144">
        <w:rPr>
          <w:rFonts w:cs="Arial"/>
        </w:rPr>
        <w:lastRenderedPageBreak/>
        <w:t>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É precisamente essa função do hipocampo ventral que o posiciona como um substrato neural crítico para a memória social. A memória social exige mais do que saber onde um encontro ocorreu; ela exige a codificação de quem foi encontrado e qual o valor dessa interação (</w:t>
      </w:r>
      <w:proofErr w:type="spellStart"/>
      <w:r>
        <w:t>ex</w:t>
      </w:r>
      <w:proofErr w:type="spellEnd"/>
      <w:r>
        <w:t xml:space="preserve">: familiar vs. novo, dominante vs. submisso). Estudos seminais, como os de </w:t>
      </w:r>
      <w:proofErr w:type="spellStart"/>
      <w:r>
        <w:t>Okuyama</w:t>
      </w:r>
      <w:proofErr w:type="spellEnd"/>
      <w:r>
        <w:t xml:space="preserve">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w:t>
      </w:r>
      <w:proofErr w:type="spellStart"/>
      <w:r>
        <w:t>co-específico</w:t>
      </w:r>
      <w:proofErr w:type="spellEnd"/>
      <w:r>
        <w:t xml:space="preserve">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w:t>
      </w:r>
      <w:r>
        <w:lastRenderedPageBreak/>
        <w:t xml:space="preserve">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007EE641" w14:textId="77777777" w:rsidR="0076280B" w:rsidRDefault="0076280B" w:rsidP="006036AA">
      <w:pPr>
        <w:ind w:firstLine="720"/>
      </w:pPr>
    </w:p>
    <w:p w14:paraId="61F02C58" w14:textId="3FD9A323" w:rsidR="002F6043" w:rsidRDefault="008D187E" w:rsidP="00351C49">
      <w:pPr>
        <w:pStyle w:val="Ttulo2"/>
      </w:pPr>
      <w:bookmarkStart w:id="5" w:name="_Toc216257225"/>
      <w:r>
        <w:rPr>
          <w:caps w:val="0"/>
        </w:rPr>
        <w:t>FERRAMENTAS DE IA NA AUTOMATIZAÇÃO DA ANÁLISE COMPORTAMENTAL</w:t>
      </w:r>
      <w:bookmarkEnd w:id="5"/>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xml:space="preserve">. Este método, embora validado, é extremamente laborioso, consome tempo e está sujeito à variabilidade e ao viés </w:t>
      </w:r>
      <w:proofErr w:type="spellStart"/>
      <w:r>
        <w:t>inter-observador</w:t>
      </w:r>
      <w:proofErr w:type="spellEnd"/>
      <w:r>
        <w:t>.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w:t>
      </w:r>
      <w:r w:rsidRPr="00FA186D">
        <w:rPr>
          <w:rFonts w:cs="Arial"/>
        </w:rPr>
        <w:lastRenderedPageBreak/>
        <w:t>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4D3B26DA" w:rsidR="002F6043" w:rsidRDefault="002F6043" w:rsidP="002F6043"/>
    <w:p w14:paraId="67EB5C86" w14:textId="4B496BC0" w:rsidR="00540444" w:rsidRPr="00462D8B" w:rsidRDefault="00540444" w:rsidP="00540444">
      <w:pPr>
        <w:jc w:val="center"/>
      </w:pPr>
      <w:r>
        <w:t>--- INSERIR FIGURA DEMONSTRATIVA DA POSE ---</w:t>
      </w:r>
    </w:p>
    <w:p w14:paraId="3B8122C9" w14:textId="50A3258E" w:rsidR="00465C19" w:rsidRDefault="00465C19" w:rsidP="008C05D2">
      <w:pPr>
        <w:pStyle w:val="Ttulo1"/>
      </w:pPr>
      <w:bookmarkStart w:id="6" w:name="_Toc216257226"/>
      <w:r>
        <w:t>JUSTIFICATIVA</w:t>
      </w:r>
      <w:bookmarkEnd w:id="6"/>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w:t>
      </w:r>
      <w:proofErr w:type="spellStart"/>
      <w:r>
        <w:t>Engelmann</w:t>
      </w:r>
      <w:proofErr w:type="spellEnd"/>
      <w:r>
        <w:t>, 2009; Perna et al., 2015).</w:t>
      </w:r>
    </w:p>
    <w:p w14:paraId="76320D48" w14:textId="04139107" w:rsidR="0069643E" w:rsidRDefault="0069643E" w:rsidP="0069643E">
      <w:pPr>
        <w:ind w:firstLine="720"/>
      </w:pPr>
      <w:r>
        <w:t xml:space="preserve">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w:t>
      </w:r>
      <w:r>
        <w:lastRenderedPageBreak/>
        <w:t>remapeamento global dos campos de lugar em CA2, um efeito não observado em CA1 (Alexander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Portanto, a presente dissertação se justifica pela necessidade de preencher essa lacuna, investigando experimentalmente como a evocação da memória social ("quem") 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bookmarkStart w:id="7" w:name="_Toc216257227"/>
      <w:r>
        <w:t>OBJETIVOS</w:t>
      </w:r>
      <w:bookmarkEnd w:id="7"/>
    </w:p>
    <w:p w14:paraId="316F6A9F" w14:textId="1EBCC594" w:rsidR="005E4CC1" w:rsidRDefault="005E4CC1" w:rsidP="005E4CC1">
      <w:pPr>
        <w:pStyle w:val="Ttulo2"/>
      </w:pPr>
      <w:bookmarkStart w:id="8" w:name="_Toc216257228"/>
      <w:r>
        <w:t>OBJETIVO GERAL</w:t>
      </w:r>
      <w:bookmarkEnd w:id="8"/>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bookmarkStart w:id="9" w:name="_Toc216257229"/>
      <w:r>
        <w:t>OBJETIVOS ESPECÍFICOS</w:t>
      </w:r>
      <w:bookmarkEnd w:id="9"/>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Caracterizar as estratégias comportamentais e os padrões de navegação dos animais durante a evocação da memória social nos diferentes contextos (familiar 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bookmarkStart w:id="10" w:name="_Toc216257230"/>
      <w:r>
        <w:t>MATERIAIS E MÉTODOS</w:t>
      </w:r>
      <w:bookmarkEnd w:id="10"/>
    </w:p>
    <w:p w14:paraId="7FA5BF35" w14:textId="77777777" w:rsidR="007014F4" w:rsidRPr="007014F4" w:rsidRDefault="007014F4" w:rsidP="007014F4"/>
    <w:p w14:paraId="250DB05C" w14:textId="765DBB70" w:rsidR="007014F4" w:rsidRDefault="00260BB1" w:rsidP="00351C49">
      <w:pPr>
        <w:pStyle w:val="Ttulo2"/>
      </w:pPr>
      <w:bookmarkStart w:id="11" w:name="_Toc216257231"/>
      <w:r>
        <w:t>ANIMAIS</w:t>
      </w:r>
      <w:bookmarkEnd w:id="11"/>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 xml:space="preserve">Durante todo o período experimental, os animais foram mantidos em gaiolas padrão de polipropileno (dimensões: 30x20x13 cm), com uma densidade máxima de </w:t>
      </w:r>
      <w:r>
        <w:lastRenderedPageBreak/>
        <w:t>cinco animais por gaiola. As gaiolas foram alocadas em estantes ventiladas dentro de 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bookmarkStart w:id="12" w:name="_Toc216257232"/>
      <w:r>
        <w:t>TAREFA DE RECONHECIMENTO SOCIAL</w:t>
      </w:r>
      <w:bookmarkEnd w:id="12"/>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w:t>
      </w:r>
      <w:proofErr w:type="spellStart"/>
      <w:r>
        <w:t>Holloway</w:t>
      </w:r>
      <w:proofErr w:type="spellEnd"/>
      <w:r>
        <w:t xml:space="preserve"> (1982) e já extensamente descrito em trabalhos anteriores do nosso grupo </w:t>
      </w:r>
      <w:r w:rsidR="0006726C">
        <w:t xml:space="preserve">(Almeida-santos et al., 2019; Guarnieri et al., 2020; Gusmão et al., 2012; </w:t>
      </w:r>
      <w:proofErr w:type="spellStart"/>
      <w:r w:rsidR="0006726C">
        <w:t>Lüscher</w:t>
      </w:r>
      <w:proofErr w:type="spellEnd"/>
      <w:r w:rsidR="0006726C">
        <w:t xml:space="preserve">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lastRenderedPageBreak/>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lastRenderedPageBreak/>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bookmarkStart w:id="13" w:name="_Toc216257233"/>
      <w:r>
        <w:t>QUANTIFICAÇÃO</w:t>
      </w:r>
      <w:bookmarkEnd w:id="13"/>
    </w:p>
    <w:p w14:paraId="717FE88C" w14:textId="77777777" w:rsidR="0069643E" w:rsidRPr="0069643E" w:rsidRDefault="0069643E" w:rsidP="0069643E"/>
    <w:p w14:paraId="3789F7E9" w14:textId="6BE9F13B" w:rsidR="0006726C" w:rsidRDefault="00FA186D" w:rsidP="00FA186D">
      <w:pPr>
        <w:ind w:firstLine="720"/>
      </w:pPr>
      <w:r>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 xml:space="preserve">Para automatizar a quantificação do comportamento, foi desenvolvida uma ferramenta de software personalizada. A sua interface gráfica (GUI) foi encapsulada usando PySide6, uma biblioteca Python para a criação de interfaces de usuário Qt. Esta interface funciona como um </w:t>
      </w:r>
      <w:proofErr w:type="spellStart"/>
      <w:r>
        <w:t>wrapper</w:t>
      </w:r>
      <w:proofErr w:type="spellEnd"/>
      <w:r>
        <w:t xml:space="preserve">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A primeira etapa, a estimativa de pose, foi implementada utilizando o DeepLabCut (DLC) (</w:t>
      </w:r>
      <w:proofErr w:type="spellStart"/>
      <w:r>
        <w:t>Mathis</w:t>
      </w:r>
      <w:proofErr w:type="spellEnd"/>
      <w:r>
        <w:t xml:space="preserve"> et al., 2018), um software de código aberto para estimativa de pose animal sem marcadores. O DLC é um framework que aplica o aprendizado por transferência (</w:t>
      </w:r>
      <w:proofErr w:type="spellStart"/>
      <w:r>
        <w:t>transfer</w:t>
      </w:r>
      <w:proofErr w:type="spellEnd"/>
      <w:r>
        <w:t xml:space="preserve"> learning) a redes neurais profundas (</w:t>
      </w:r>
      <w:proofErr w:type="spellStart"/>
      <w:r>
        <w:t>DNNs</w:t>
      </w:r>
      <w:proofErr w:type="spellEnd"/>
      <w:r>
        <w:t xml:space="preserve">) pré-treinadas. Especificamente, foi </w:t>
      </w:r>
      <w:r>
        <w:lastRenderedPageBreak/>
        <w:t xml:space="preserve">utilizada uma rede neural com a arquitetura ResNet-50 (He et al., 2016), que foi pré-treinada no extenso banco de dados de imagens </w:t>
      </w:r>
      <w:proofErr w:type="spellStart"/>
      <w:r>
        <w:t>ImageNet</w:t>
      </w:r>
      <w:proofErr w:type="spellEnd"/>
      <w:r>
        <w:t xml:space="preserve">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w:t>
      </w:r>
      <w:proofErr w:type="spellStart"/>
      <w:r>
        <w:t>ex</w:t>
      </w:r>
      <w:proofErr w:type="spellEnd"/>
      <w:r>
        <w:t>: focinho, orelhas, centro e base da cauda). Esta rede ResNet-50 pré-treinada foi, então, "afunilada" (fine-</w:t>
      </w:r>
      <w:proofErr w:type="spellStart"/>
      <w:r>
        <w:t>tuned</w:t>
      </w:r>
      <w:proofErr w:type="spellEnd"/>
      <w:r>
        <w:t>) utilizando esses quadros rotulados, especializando-a para identificar com precisão os pontos-chave dos animais neste contexto experimental específico.</w:t>
      </w:r>
    </w:p>
    <w:p w14:paraId="7B68B836" w14:textId="4866575F" w:rsidR="00C4787C" w:rsidRDefault="00C4787C" w:rsidP="00C4787C">
      <w:pPr>
        <w:ind w:firstLine="720"/>
      </w:pPr>
      <w:r>
        <w:t xml:space="preserve">Após o treinamento, o modelo DLC foi utilizado para analisar todos os vídeos experimentais, gerando um conjunto de dados de coordenadas (x, y) e a probabilidade de confiança para cada </w:t>
      </w:r>
      <w:proofErr w:type="spellStart"/>
      <w:r>
        <w:t>ponto-chave</w:t>
      </w:r>
      <w:proofErr w:type="spellEnd"/>
      <w:r>
        <w:t xml:space="preser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1932BDF1" w14:textId="77777777" w:rsidR="0076280B" w:rsidRDefault="0076280B" w:rsidP="00C4787C">
      <w:pPr>
        <w:ind w:firstLine="720"/>
      </w:pP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7126B0D3" w14:textId="4BABCA1A" w:rsidR="0006726C" w:rsidRPr="0076280B" w:rsidRDefault="0006726C" w:rsidP="0076280B">
      <w:pPr>
        <w:rPr>
          <w:sz w:val="18"/>
          <w:szCs w:val="18"/>
        </w:rPr>
      </w:pPr>
      <w:r w:rsidRPr="0076280B">
        <w:rPr>
          <w:sz w:val="18"/>
          <w:szCs w:val="18"/>
        </w:rPr>
        <w:lastRenderedPageBreak/>
        <w:t xml:space="preserve">Figura </w:t>
      </w:r>
      <w:r w:rsidR="0076280B" w:rsidRPr="0076280B">
        <w:rPr>
          <w:sz w:val="18"/>
          <w:szCs w:val="18"/>
        </w:rPr>
        <w:t>4.</w:t>
      </w:r>
      <w:r w:rsidRPr="0076280B">
        <w:rPr>
          <w:sz w:val="18"/>
          <w:szCs w:val="18"/>
        </w:rPr>
        <w:t xml:space="preserve"> </w:t>
      </w:r>
      <w:r w:rsidR="0076280B" w:rsidRPr="0076280B">
        <w:rPr>
          <w:sz w:val="18"/>
          <w:szCs w:val="18"/>
        </w:rPr>
        <w:t>Fluxo de trabalho para estimativa de pose baseada em aprendizado profundo a partir de vídeos comportamentais. 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(p-</w:t>
      </w:r>
      <w:proofErr w:type="spellStart"/>
      <w:r>
        <w:t>cutoff</w:t>
      </w:r>
      <w:proofErr w:type="spellEnd"/>
      <w:r>
        <w:t>) de 0,6 para filtrar coordenadas de baixa probabilidade, garantindo que apenas localizações de alta confiança fossem usadas.</w:t>
      </w:r>
    </w:p>
    <w:p w14:paraId="25784621" w14:textId="4DDBCE9F" w:rsidR="00C4787C" w:rsidRDefault="00C4787C" w:rsidP="00C4787C">
      <w:pPr>
        <w:ind w:firstLine="720"/>
      </w:pPr>
      <w:r>
        <w:t xml:space="preserve">Esta rede neural treinada e validada foi então utilizada para analisar todos os vídeos experimentais. A saída bruta deste processo (o output do DeepLabCut) consiste em um arquivo de dados contendo as coordenadas (x, y) e a probabilidade de confiança para cada </w:t>
      </w:r>
      <w:proofErr w:type="spellStart"/>
      <w:r>
        <w:t>ponto-chave</w:t>
      </w:r>
      <w:proofErr w:type="spellEnd"/>
      <w:r>
        <w:t xml:space="preser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w:t>
      </w:r>
      <w:proofErr w:type="spellStart"/>
      <w:r>
        <w:t>ROIs</w:t>
      </w:r>
      <w:proofErr w:type="spellEnd"/>
      <w:r>
        <w:t xml:space="preserve">) pré-definidas que delimitam os estímulos sociais. O tempo de investigação é então determinado pela detecção de "colisões" entre a região </w:t>
      </w:r>
      <w:r>
        <w:lastRenderedPageBreak/>
        <w:t xml:space="preserve">da cabeça do animal e as </w:t>
      </w:r>
      <w:proofErr w:type="spellStart"/>
      <w:r>
        <w:t>ROIs</w:t>
      </w:r>
      <w:proofErr w:type="spellEnd"/>
      <w:r>
        <w:t>. A soma de todos os quadros onde uma colisão é detectada é utilizada como o tempo de investigação total. Dado que os vídeos foram gravados a 30 quadros por segundo (</w:t>
      </w:r>
      <w:proofErr w:type="spellStart"/>
      <w:r>
        <w:t>fps</w:t>
      </w:r>
      <w:proofErr w:type="spellEnd"/>
      <w:r>
        <w:t xml:space="preserve">),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0DCA3D42" w:rsidR="00D031D3" w:rsidRDefault="008D187E" w:rsidP="00351C49">
      <w:pPr>
        <w:pStyle w:val="Ttulo3"/>
      </w:pPr>
      <w:bookmarkStart w:id="14" w:name="_Toc216257234"/>
      <w:r>
        <w:rPr>
          <w:caps w:val="0"/>
        </w:rPr>
        <w:t>CÁLCULO DO TRIÂNGULO (GEOMETRIA DA CABEÇA)</w:t>
      </w:r>
      <w:bookmarkEnd w:id="14"/>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w:t>
      </w:r>
      <w:proofErr w:type="spellStart"/>
      <w:r>
        <w:t>semi-perímetro</w:t>
      </w:r>
      <w:proofErr w:type="spellEnd"/>
      <w:r>
        <w:t xml:space="preserve">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bookmarkStart w:id="15" w:name="_Toc216257235"/>
      <w:r>
        <w:rPr>
          <w:caps w:val="0"/>
        </w:rPr>
        <w:t>CÁLCULO DO LIMIAR (VETOR DE INVESTIGAÇÃO)</w:t>
      </w:r>
      <w:bookmarkEnd w:id="15"/>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w:t>
      </w:r>
      <w:r>
        <w:lastRenderedPageBreak/>
        <w:t xml:space="preserve">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w:t>
      </w:r>
      <w:proofErr w:type="spellStart"/>
      <w:r>
        <w:t>ROIs</w:t>
      </w:r>
      <w:proofErr w:type="spellEnd"/>
      <w:r>
        <w:t>) que definem os estímulos sociais.</w:t>
      </w:r>
    </w:p>
    <w:p w14:paraId="5FA41A89" w14:textId="77777777" w:rsidR="00D031D3" w:rsidRDefault="00D031D3" w:rsidP="00D031D3"/>
    <w:p w14:paraId="3FA89970" w14:textId="03B034B1" w:rsidR="00D031D3" w:rsidRDefault="008D187E" w:rsidP="00351C49">
      <w:pPr>
        <w:pStyle w:val="Ttulo3"/>
      </w:pPr>
      <w:bookmarkStart w:id="16" w:name="_Toc216257236"/>
      <w:r>
        <w:rPr>
          <w:caps w:val="0"/>
        </w:rPr>
        <w:t>DETECÇÃO DE COLISÕES (QUANTIFICAÇÃO DA INVESTIGAÇÃO)</w:t>
      </w:r>
      <w:bookmarkEnd w:id="16"/>
    </w:p>
    <w:p w14:paraId="2FAD6183" w14:textId="77777777" w:rsidR="006057BE" w:rsidRPr="006057BE" w:rsidRDefault="006057BE" w:rsidP="006057BE"/>
    <w:p w14:paraId="6FD9F9DA" w14:textId="05D4DD5F" w:rsidR="00D031D3" w:rsidRDefault="00D031D3" w:rsidP="00351C49">
      <w:pPr>
        <w:ind w:firstLine="720"/>
      </w:pPr>
      <w:r>
        <w:t xml:space="preserve">A investigação social é quantificada, quadro a quadro, pela detecção de colisões entre o "limiar" (o segmento de reta que representa o focinho) e as </w:t>
      </w:r>
      <w:proofErr w:type="spellStart"/>
      <w:r>
        <w:t>ROIs</w:t>
      </w:r>
      <w:proofErr w:type="spellEnd"/>
      <w:r>
        <w:t xml:space="preserve">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033749"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 - 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 - 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w:t>
      </w:r>
      <w:proofErr w:type="spellStart"/>
      <w:r>
        <w:t>uadro</w:t>
      </w:r>
      <w:proofErr w:type="spellEnd"/>
      <w:r>
        <w:t xml:space="preserve"> é rotulado como "investigação". O tempo total de investigação é a soma desses quadros multiplicada pelo inverso da taxa de quadros (</w:t>
      </w:r>
      <w:proofErr w:type="spellStart"/>
      <w:r>
        <w:t>ex</w:t>
      </w:r>
      <w:proofErr w:type="spellEnd"/>
      <w:r>
        <w:t xml:space="preserve">: 33,3 </w:t>
      </w:r>
      <w:proofErr w:type="spellStart"/>
      <w:r>
        <w:t>ms</w:t>
      </w:r>
      <w:proofErr w:type="spellEnd"/>
      <w:r>
        <w:t xml:space="preserve"> para 30 </w:t>
      </w:r>
      <w:proofErr w:type="spellStart"/>
      <w:r>
        <w:t>fps</w:t>
      </w:r>
      <w:proofErr w:type="spellEnd"/>
      <w:r>
        <w:t>).</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bookmarkStart w:id="17" w:name="_Toc216257237"/>
      <w:r>
        <w:rPr>
          <w:caps w:val="0"/>
        </w:rPr>
        <w:t>ANÁLISE DE ATIVIDADE LOCOMOTORA</w:t>
      </w:r>
      <w:bookmarkEnd w:id="17"/>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w:t>
      </w:r>
      <w:r>
        <w:lastRenderedPageBreak/>
        <w:t xml:space="preserve">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033749"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Esse deslocamento, medido em pixels, é então convertido para centímetros (cm) usando uma taxa de calibração (pixels/cm) pré-definida. Para excluir artefatos de movimento (</w:t>
      </w:r>
      <w:proofErr w:type="spellStart"/>
      <w:r>
        <w:t>ex</w:t>
      </w:r>
      <w:proofErr w:type="spellEnd"/>
      <w:r>
        <w:t>: pequenas vibrações da câmera ou do animal) que poderiam ser contados como locomoção real, um limiar de movimento (</w:t>
      </w:r>
      <m:oMath>
        <m:r>
          <w:rPr>
            <w:rFonts w:ascii="Cambria Math" w:hAnsi="Cambria Math"/>
          </w:rPr>
          <m:t>Tmov</m:t>
        </m:r>
      </m:oMath>
      <w:r>
        <w:t xml:space="preserve">​) é aplicado. Um quadro é classificado como "em movimento" apenas se o deslocamento exceder 0,0267 cm/frame (equivalente a ≈ 0,8 cm/s em um vídeo de 30 </w:t>
      </w:r>
      <w:proofErr w:type="spellStart"/>
      <w:r>
        <w:t>fps</w:t>
      </w:r>
      <w:proofErr w:type="spellEnd"/>
      <w:r>
        <w:t>).</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033749"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2CB7CBC1" w14:textId="0802EF87" w:rsidR="00E76E77" w:rsidRDefault="00351C49" w:rsidP="00E76E77">
      <w:pPr>
        <w:ind w:firstLine="720"/>
      </w:pPr>
      <w:r>
        <w:t>Essas métricas são então utilizadas para a análise da investigação social e comportamento geral do animal durante a tarefa.</w:t>
      </w:r>
    </w:p>
    <w:p w14:paraId="73ABD047" w14:textId="77777777" w:rsidR="00E76E77" w:rsidRDefault="00E76E77" w:rsidP="00E76E77">
      <w:pPr>
        <w:ind w:firstLine="720"/>
      </w:pPr>
    </w:p>
    <w:p w14:paraId="62D7927D" w14:textId="0C2BD123" w:rsidR="00E76E77" w:rsidRDefault="00E76E77" w:rsidP="00E76E77">
      <w:pPr>
        <w:pStyle w:val="Ttulo2"/>
      </w:pPr>
      <w:bookmarkStart w:id="18" w:name="_Toc216257238"/>
      <w:r>
        <w:rPr>
          <w:caps w:val="0"/>
        </w:rPr>
        <w:t>PADRONIZAÇÃO PILOTO DA PLATAFORMA DE IMAGEAMENTO DE CÁLCIO</w:t>
      </w:r>
      <w:bookmarkEnd w:id="18"/>
    </w:p>
    <w:p w14:paraId="09E5330A" w14:textId="05485AD1"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projetada especificamente para o monitoramento da atividade neuronal em animais em comportamento livre </w:t>
      </w:r>
      <w:r w:rsidR="00BC6084">
        <w:fldChar w:fldCharType="begin"/>
      </w:r>
      <w:r w:rsidR="00BC6084">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(Ghosh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(Aharoni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264C1629" w:rsidR="00BC6084" w:rsidRDefault="00BC6084" w:rsidP="00BC6084">
      <w:pPr>
        <w:ind w:firstLine="720"/>
      </w:pPr>
      <w:r>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w:t>
      </w:r>
      <w:r w:rsidRPr="00530174">
        <w:rPr>
          <w:i/>
          <w:iCs/>
        </w:rPr>
        <w:t>UCLA Miniscope</w:t>
      </w:r>
      <w:r>
        <w:t xml:space="preserve">). Este dispositivo integra componentes óticos e eletrônicos de precisão incluindo um sensor de imagem CMOS semicondutor, um LED de excitação e um conjunto de filtros e lentes alojados em um corpo fabricado por impressão 3D </w:t>
      </w:r>
      <w:r>
        <w:fldChar w:fldCharType="begin"/>
      </w:r>
      <w: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fldChar w:fldCharType="begin"/>
      </w:r>
      <w:r>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AF086A">
        <w:rPr>
          <w:rFonts w:cs="Arial"/>
        </w:rPr>
        <w:t>(Resendez et al., 2016)</w:t>
      </w:r>
      <w:r>
        <w:fldChar w:fldCharType="end"/>
      </w:r>
      <w:r>
        <w:t>.</w:t>
      </w:r>
    </w:p>
    <w:p w14:paraId="4FFAE97A" w14:textId="43098ACE" w:rsidR="00CE2069" w:rsidRDefault="00CE2069" w:rsidP="00CE2069">
      <w:pPr>
        <w:ind w:firstLine="720"/>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4C4DB411" w:rsidR="00CE2069" w:rsidRPr="00CE2069" w:rsidRDefault="00CE2069" w:rsidP="00BC6084">
      <w:pPr>
        <w:ind w:firstLine="720"/>
        <w:rPr>
          <w:sz w:val="18"/>
          <w:szCs w:val="18"/>
        </w:rPr>
      </w:pPr>
      <w:r w:rsidRPr="00CE2069">
        <w:rPr>
          <w:sz w:val="18"/>
          <w:szCs w:val="18"/>
        </w:rPr>
        <w:t xml:space="preserve">Figura 5 - </w:t>
      </w:r>
      <w:r w:rsidRPr="00B73696">
        <w:rPr>
          <w:sz w:val="18"/>
          <w:szCs w:val="18"/>
        </w:rPr>
        <w:t xml:space="preserve">Representação esquemática do caminho óptico do sistema </w:t>
      </w:r>
      <w:r w:rsidRPr="00B73696">
        <w:rPr>
          <w:i/>
          <w:iCs/>
          <w:sz w:val="18"/>
          <w:szCs w:val="18"/>
        </w:rPr>
        <w:t>Miniscope</w:t>
      </w:r>
      <w:r w:rsidRPr="00CE2069">
        <w:rPr>
          <w:sz w:val="18"/>
          <w:szCs w:val="18"/>
        </w:rPr>
        <w:t xml:space="preserve">. A luz de excitação (faixa azul) é emitida pelo LED, passa pelo filtro de excitação e é refletida pelo espelho </w:t>
      </w:r>
      <w:proofErr w:type="spellStart"/>
      <w:r w:rsidRPr="00CE2069">
        <w:rPr>
          <w:sz w:val="18"/>
          <w:szCs w:val="18"/>
        </w:rPr>
        <w:t>dicróico</w:t>
      </w:r>
      <w:proofErr w:type="spellEnd"/>
      <w:r w:rsidRPr="00CE2069">
        <w:rPr>
          <w:sz w:val="18"/>
          <w:szCs w:val="18"/>
        </w:rPr>
        <w:t xml:space="preserve"> em direção à lente GRIN (</w:t>
      </w:r>
      <w:r w:rsidRPr="00CE2069">
        <w:rPr>
          <w:i/>
          <w:iCs/>
          <w:sz w:val="18"/>
          <w:szCs w:val="18"/>
        </w:rPr>
        <w:t>Gradient Index</w:t>
      </w:r>
      <w:r w:rsidRPr="00CE2069">
        <w:rPr>
          <w:sz w:val="18"/>
          <w:szCs w:val="18"/>
        </w:rPr>
        <w:t xml:space="preserve">), que focaliza o feixe no tecido cerebral alvo. A fluorescência emitida pelos indicadores de cálcio (faixa verde) retorna através da lente GRIN, atravessa o espelho </w:t>
      </w:r>
      <w:proofErr w:type="spellStart"/>
      <w:r w:rsidRPr="00CE2069">
        <w:rPr>
          <w:sz w:val="18"/>
          <w:szCs w:val="18"/>
        </w:rPr>
        <w:t>dicróico</w:t>
      </w:r>
      <w:proofErr w:type="spellEnd"/>
      <w:r w:rsidRPr="00CE2069">
        <w:rPr>
          <w:sz w:val="18"/>
          <w:szCs w:val="18"/>
        </w:rPr>
        <w:t xml:space="preserve"> e o filtro de emissão, sendo posteriormente focalizada pela lente acromática sobre o sensor de imagem CMOS para captura dos dados. Adaptado de </w:t>
      </w:r>
      <w:r w:rsidRPr="00CE2069">
        <w:rPr>
          <w:i/>
          <w:iCs/>
          <w:sz w:val="18"/>
          <w:szCs w:val="18"/>
        </w:rPr>
        <w:t>Miniscope.org</w:t>
      </w:r>
      <w:r w:rsidRPr="00CE2069">
        <w:rPr>
          <w:sz w:val="18"/>
          <w:szCs w:val="18"/>
        </w:rPr>
        <w:t xml:space="preserve"> (2025).</w:t>
      </w:r>
    </w:p>
    <w:p w14:paraId="6BFE5989" w14:textId="77777777" w:rsidR="00CE2069" w:rsidRDefault="00CE2069" w:rsidP="00BC6084">
      <w:pPr>
        <w:ind w:firstLine="720"/>
      </w:pPr>
    </w:p>
    <w:p w14:paraId="623A7BD5" w14:textId="77777777" w:rsidR="00530174" w:rsidRDefault="00BC6084" w:rsidP="00B73696">
      <w:pPr>
        <w:ind w:firstLine="720"/>
      </w:pPr>
      <w:r>
        <w:t>Esta abordagem metodológica permite o registro da dinâmica de grandes populações neuronais</w:t>
      </w:r>
      <w:r w:rsidR="00530174">
        <w:t xml:space="preserve">, </w:t>
      </w:r>
      <w:r>
        <w:t xml:space="preserve">possibilitando correlacionar a atividade de centenas de células individuais com eventos comportamentais específicos em tempo real </w:t>
      </w:r>
      <w:r>
        <w:fldChar w:fldCharType="begin"/>
      </w:r>
      <w:r>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fldChar w:fldCharType="separate"/>
      </w:r>
      <w:r w:rsidRPr="00AF086A">
        <w:rPr>
          <w:rFonts w:cs="Arial"/>
        </w:rPr>
        <w:t>(Cai et al., 2016)</w:t>
      </w:r>
      <w:r>
        <w:fldChar w:fldCharType="end"/>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 xml:space="preserve">Ademais, a natureza </w:t>
      </w:r>
      <w:r w:rsidRPr="00AF086A">
        <w:rPr>
          <w:i/>
          <w:iCs/>
        </w:rPr>
        <w:t>open-</w:t>
      </w:r>
      <w:proofErr w:type="spellStart"/>
      <w:r w:rsidRPr="00AF086A">
        <w:rPr>
          <w:i/>
          <w:iCs/>
        </w:rPr>
        <w:t>sourc</w:t>
      </w:r>
      <w:r>
        <w:rPr>
          <w:i/>
          <w:iCs/>
        </w:rPr>
        <w:t>e</w:t>
      </w:r>
      <w:proofErr w:type="spellEnd"/>
      <w:r>
        <w:rPr>
          <w:i/>
          <w:iCs/>
        </w:rPr>
        <w:t xml:space="preserv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xml:space="preserve">. </w:t>
      </w:r>
    </w:p>
    <w:p w14:paraId="0A5B8791" w14:textId="77777777" w:rsidR="00B73696" w:rsidRDefault="00B73696" w:rsidP="00B73696">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B73696">
      <w:pPr>
        <w:pStyle w:val="Ttulo3"/>
      </w:pPr>
      <w:bookmarkStart w:id="19" w:name="_Toc216257239"/>
      <w:r>
        <w:t>PREPARAÇÃO PARA A ASPIRAÇÃO TECIDUAL E CRANIOTOMIA</w:t>
      </w:r>
      <w:bookmarkEnd w:id="19"/>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6B381DA6" w:rsidR="00B73696" w:rsidRDefault="00B73696" w:rsidP="00B73696">
      <w:pPr>
        <w:ind w:firstLine="720"/>
      </w:pPr>
      <w:r>
        <w:t>O dispositivo final incluiu uma agulha de biópsia de 2 mm acoplada a um motor alimentado por bateria de 9</w:t>
      </w:r>
      <w:r w:rsidR="00530174">
        <w:t xml:space="preserve"> volts</w:t>
      </w:r>
      <w:r>
        <w:t xml:space="preserve"> com um </w:t>
      </w:r>
      <w:r w:rsidR="00530174">
        <w:t>limitador de corrente</w:t>
      </w:r>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xml:space="preserve">, a preservação da integridade do tecido </w:t>
      </w:r>
      <w:r>
        <w:lastRenderedPageBreak/>
        <w:t>circundante e a hemostasia durante a 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344A6EA8" w:rsidR="00885C63" w:rsidRPr="00C90858" w:rsidRDefault="00C90858" w:rsidP="00885C63">
      <w:pPr>
        <w:rPr>
          <w:sz w:val="18"/>
          <w:szCs w:val="18"/>
        </w:rPr>
      </w:pPr>
      <w:r w:rsidRPr="00C90858">
        <w:rPr>
          <w:sz w:val="18"/>
          <w:szCs w:val="18"/>
        </w:rPr>
        <w:t xml:space="preserve">Figura 6 - Componentes e montagem do dispositivo customizado para craniotomia estereotáxica.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w:t>
      </w:r>
      <w:r w:rsidR="00530174">
        <w:rPr>
          <w:sz w:val="18"/>
          <w:szCs w:val="18"/>
        </w:rPr>
        <w:t>volts</w:t>
      </w:r>
      <w:r w:rsidRPr="00C90858">
        <w:rPr>
          <w:sz w:val="18"/>
          <w:szCs w:val="18"/>
        </w:rPr>
        <w:t xml:space="preserve"> e o </w:t>
      </w:r>
      <w:r w:rsidR="00530174">
        <w:rPr>
          <w:sz w:val="18"/>
          <w:szCs w:val="18"/>
        </w:rPr>
        <w:t xml:space="preserve">limitador de corrente </w:t>
      </w:r>
      <w:r w:rsidRPr="00C90858">
        <w:rPr>
          <w:sz w:val="18"/>
          <w:szCs w:val="18"/>
        </w:rPr>
        <w:t>lateral para ajuste fino da velocidade de rotação. (D) Dispositivo integralmente montado, pronto para a execução da perfuração padronizada.</w:t>
      </w:r>
    </w:p>
    <w:p w14:paraId="71C643E0" w14:textId="77777777" w:rsidR="00885C63" w:rsidRDefault="00885C63" w:rsidP="00885C63"/>
    <w:p w14:paraId="44386F9F" w14:textId="6A0AFCD3" w:rsidR="00885C63" w:rsidRPr="00885C63" w:rsidRDefault="00885C63" w:rsidP="00885C63">
      <w:pPr>
        <w:pStyle w:val="Ttulo3"/>
        <w:rPr>
          <w:caps w:val="0"/>
        </w:rPr>
      </w:pPr>
      <w:bookmarkStart w:id="20" w:name="_Toc216257240"/>
      <w:r>
        <w:rPr>
          <w:caps w:val="0"/>
        </w:rPr>
        <w:t>PREPARAÇÃO DE SUPORTE PARA INSERÇÃO DA LENTE GRIN</w:t>
      </w:r>
      <w:bookmarkEnd w:id="20"/>
    </w:p>
    <w:p w14:paraId="3DDCACF9" w14:textId="17E1FD01" w:rsidR="00885C63" w:rsidRDefault="00885C63" w:rsidP="00885C63">
      <w:pPr>
        <w:ind w:firstLine="720"/>
      </w:pPr>
      <w:r>
        <w:t xml:space="preserve">Superada a craniotomia, outro desafio foi inserir a lente GRIN nas coordenadas estereotáxicas exatas e de maneira estável. Os primeiros protótipos de suporte, feitos com tubos plásticos, revelaram limitações principalmente relacionadas à estabilidade e </w:t>
      </w:r>
      <w:r>
        <w:lastRenderedPageBreak/>
        <w:t>precisão dimensional. Em resposta, desenvolveu-se um suporte impresso em PLA; contudo, a falta de precisão da impressora de filamento impossibilitou a fabricação de orifícios compatíveis com o diâmetro da lente.</w:t>
      </w:r>
    </w:p>
    <w:p w14:paraId="55E4B462" w14:textId="70EA23E8"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(Ghosh et al., 2011)</w:t>
      </w:r>
      <w:r>
        <w:fldChar w:fldCharType="end"/>
      </w:r>
      <w:r>
        <w:t>.</w:t>
      </w:r>
    </w:p>
    <w:p w14:paraId="14532B53" w14:textId="55BB5D34" w:rsidR="00885C63" w:rsidRDefault="00885C63" w:rsidP="00C90858">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A precisão do suporte impresso também funcionou como guia adicional de alinhamento estereotáxico, aumentando a confiabilidade da inserção.</w:t>
      </w:r>
    </w:p>
    <w:p w14:paraId="35C18DF4" w14:textId="77777777" w:rsidR="00904B0A" w:rsidRDefault="00904B0A" w:rsidP="00C90858">
      <w:pPr>
        <w:ind w:firstLine="720"/>
      </w:pPr>
      <w:r w:rsidRPr="00904B0A">
        <w:t>Para corroborar a precisão estereotáxica alcançada com estes dispositivos customizados, realizou-se a verificação histológica do tecido. A Figura</w:t>
      </w:r>
      <w:r>
        <w:t xml:space="preserve"> 7</w:t>
      </w:r>
      <w:r w:rsidRPr="00904B0A">
        <w:t xml:space="preserve"> evidencia a interface óptica estabelecida pelo trajeto da lente e a preservação da </w:t>
      </w:r>
      <w:proofErr w:type="spellStart"/>
      <w:r w:rsidRPr="00904B0A">
        <w:t>citoarquitetura</w:t>
      </w:r>
      <w:proofErr w:type="spellEnd"/>
      <w:r w:rsidRPr="00904B0A">
        <w:t xml:space="preserve"> local, sobreposta à fluorescência do indicador </w:t>
      </w:r>
      <w:proofErr w:type="spellStart"/>
      <w:r w:rsidRPr="00904B0A">
        <w:t>GCaMP</w:t>
      </w:r>
      <w:proofErr w:type="spellEnd"/>
      <w:r w:rsidRPr="00904B0A">
        <w:t xml:space="preserve"> na região de interesse.</w:t>
      </w:r>
    </w:p>
    <w:p w14:paraId="00E1DA45" w14:textId="548CA4D3" w:rsidR="00904B0A" w:rsidRDefault="00904B0A" w:rsidP="00904B0A">
      <w:pPr>
        <w:sectPr w:rsidR="00904B0A" w:rsidSect="00261734">
          <w:pgSz w:w="12240" w:h="15840"/>
          <w:pgMar w:top="1440" w:right="1440" w:bottom="1440" w:left="1440" w:header="720" w:footer="720" w:gutter="0"/>
          <w:cols w:space="720"/>
          <w:docGrid w:linePitch="360"/>
        </w:sectPr>
      </w:pPr>
    </w:p>
    <w:p w14:paraId="671FA4FA" w14:textId="6DB67AAF" w:rsidR="00904B0A" w:rsidRDefault="009D1804" w:rsidP="00B01F94">
      <w:r>
        <w:rPr>
          <w:noProof/>
        </w:rPr>
        <w:lastRenderedPageBreak/>
        <mc:AlternateContent>
          <mc:Choice Requires="wps">
            <w:drawing>
              <wp:anchor distT="0" distB="0" distL="114300" distR="114300" simplePos="0" relativeHeight="251659264" behindDoc="0" locked="0" layoutInCell="1" allowOverlap="1" wp14:anchorId="0AB81380" wp14:editId="7A56552E">
                <wp:simplePos x="0" y="0"/>
                <wp:positionH relativeFrom="column">
                  <wp:posOffset>4775200</wp:posOffset>
                </wp:positionH>
                <wp:positionV relativeFrom="paragraph">
                  <wp:posOffset>58057</wp:posOffset>
                </wp:positionV>
                <wp:extent cx="1043305" cy="8113486"/>
                <wp:effectExtent l="0" t="0" r="0" b="1905"/>
                <wp:wrapNone/>
                <wp:docPr id="15" name="Caixa de Texto 15"/>
                <wp:cNvGraphicFramePr/>
                <a:graphic xmlns:a="http://schemas.openxmlformats.org/drawingml/2006/main">
                  <a:graphicData uri="http://schemas.microsoft.com/office/word/2010/wordprocessingShape">
                    <wps:wsp>
                      <wps:cNvSpPr txBox="1"/>
                      <wps:spPr>
                        <a:xfrm>
                          <a:off x="0" y="0"/>
                          <a:ext cx="1043305" cy="8113486"/>
                        </a:xfrm>
                        <a:prstGeom prst="rect">
                          <a:avLst/>
                        </a:prstGeom>
                        <a:noFill/>
                        <a:ln w="6350">
                          <a:noFill/>
                        </a:ln>
                      </wps:spPr>
                      <wps:txbx>
                        <w:txbxContent>
                          <w:p w14:paraId="0E6CF2CA" w14:textId="2D26196A" w:rsidR="00B01F94" w:rsidRPr="00B01F94" w:rsidRDefault="00B01F94" w:rsidP="00FF5C4F">
                            <w:pPr>
                              <w:spacing w:line="276" w:lineRule="auto"/>
                              <w:rPr>
                                <w:sz w:val="18"/>
                                <w:szCs w:val="18"/>
                              </w:rPr>
                            </w:pPr>
                            <w:r w:rsidRPr="00B01F94">
                              <w:rPr>
                                <w:sz w:val="18"/>
                                <w:szCs w:val="18"/>
                              </w:rPr>
                              <w:t xml:space="preserve">Figura 7 – Validação histológica da implantação da lente GRIN. Imagem de microscopia de fluorescência de uma fatia coronal do hipocampo. É possível observar o trajeto de inserção da lente terminando imediatamente acima da camada </w:t>
                            </w:r>
                            <w:r>
                              <w:rPr>
                                <w:sz w:val="18"/>
                                <w:szCs w:val="18"/>
                              </w:rPr>
                              <w:t>CA1 do hipocampo</w:t>
                            </w:r>
                            <w:r w:rsidRPr="00B01F94">
                              <w:rPr>
                                <w:sz w:val="18"/>
                                <w:szCs w:val="18"/>
                              </w:rPr>
                              <w:t>. A fluorescência verde confirma a expressão do indicador de cálcio (GCaMP) na população neuronal alvo após o período de recuperação, validando o protocolo cirúrgico padronizado.</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B81380" id="_x0000_t202" coordsize="21600,21600" o:spt="202" path="m,l,21600r21600,l21600,xe">
                <v:stroke joinstyle="miter"/>
                <v:path gradientshapeok="t" o:connecttype="rect"/>
              </v:shapetype>
              <v:shape id="Caixa de Texto 15" o:spid="_x0000_s1026" type="#_x0000_t202" style="position:absolute;left:0;text-align:left;margin-left:376pt;margin-top:4.55pt;width:82.15pt;height:638.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" filled="f" stroked="f" strokeweight=".5pt">
                <v:textbox style="layout-flow:vertical;mso-layout-flow-alt:bottom-to-top">
                  <w:txbxContent>
                    <w:p w14:paraId="0E6CF2CA" w14:textId="2D26196A" w:rsidR="00B01F94" w:rsidRPr="00B01F94" w:rsidRDefault="00B01F94" w:rsidP="00FF5C4F">
                      <w:pPr>
                        <w:spacing w:line="276" w:lineRule="auto"/>
                        <w:rPr>
                          <w:sz w:val="18"/>
                          <w:szCs w:val="18"/>
                        </w:rPr>
                      </w:pPr>
                      <w:r w:rsidRPr="00B01F94">
                        <w:rPr>
                          <w:sz w:val="18"/>
                          <w:szCs w:val="18"/>
                        </w:rPr>
                        <w:t xml:space="preserve">Figura 7 – Validação histológica da implantação da lente GRIN. Imagem de microscopia de fluorescência de uma fatia coronal do hipocampo. É possível observar o trajeto de inserção da lente terminando imediatamente acima da camada </w:t>
                      </w:r>
                      <w:r>
                        <w:rPr>
                          <w:sz w:val="18"/>
                          <w:szCs w:val="18"/>
                        </w:rPr>
                        <w:t>CA1 do hipocampo</w:t>
                      </w:r>
                      <w:r w:rsidRPr="00B01F94">
                        <w:rPr>
                          <w:sz w:val="18"/>
                          <w:szCs w:val="18"/>
                        </w:rPr>
                        <w:t>. A fluorescência verde confirma a expressão do indicador de cálcio (GCaMP) na população neuronal alvo após o período de recuperação, validando o protocolo cirúrgico padronizado.</w:t>
                      </w:r>
                    </w:p>
                  </w:txbxContent>
                </v:textbox>
              </v:shape>
            </w:pict>
          </mc:Fallback>
        </mc:AlternateContent>
      </w:r>
    </w:p>
    <w:p w14:paraId="68FEBF05" w14:textId="4096A14A" w:rsidR="00B01F94" w:rsidRDefault="009D1804" w:rsidP="009D1804">
      <w:r>
        <w:rPr>
          <w:noProof/>
        </w:rPr>
        <w:drawing>
          <wp:anchor distT="0" distB="0" distL="114300" distR="114300" simplePos="0" relativeHeight="251658240" behindDoc="0" locked="0" layoutInCell="1" allowOverlap="1" wp14:anchorId="71BD6ED2" wp14:editId="1FF18AF9">
            <wp:simplePos x="0" y="0"/>
            <wp:positionH relativeFrom="column">
              <wp:posOffset>-1623695</wp:posOffset>
            </wp:positionH>
            <wp:positionV relativeFrom="paragraph">
              <wp:posOffset>1460500</wp:posOffset>
            </wp:positionV>
            <wp:extent cx="8094980" cy="4710430"/>
            <wp:effectExtent l="0" t="3175"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09498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9AA1" w14:textId="0828595F" w:rsidR="00904B0A" w:rsidRDefault="00904B0A" w:rsidP="00C90858">
      <w:pPr>
        <w:ind w:firstLine="720"/>
        <w:sectPr w:rsidR="00904B0A" w:rsidSect="00261734">
          <w:pgSz w:w="12240" w:h="15840"/>
          <w:pgMar w:top="1440" w:right="1440" w:bottom="1440" w:left="1440" w:header="720" w:footer="720" w:gutter="0"/>
          <w:cols w:space="720"/>
          <w:docGrid w:linePitch="360"/>
        </w:sectPr>
      </w:pPr>
    </w:p>
    <w:p w14:paraId="0FF36A49" w14:textId="737F4A2D" w:rsidR="00904B0A" w:rsidRDefault="00904B0A" w:rsidP="00C90858">
      <w:pPr>
        <w:ind w:firstLine="720"/>
      </w:pPr>
    </w:p>
    <w:p w14:paraId="137A4BD1" w14:textId="77777777" w:rsidR="00904B0A" w:rsidRDefault="00904B0A" w:rsidP="00CF092F">
      <w:pPr>
        <w:jc w:val="center"/>
      </w:pPr>
    </w:p>
    <w:p w14:paraId="15EE6D8F" w14:textId="1311230C" w:rsidR="00885C63" w:rsidRDefault="00885C63" w:rsidP="00CF092F">
      <w:pPr>
        <w:jc w:val="center"/>
      </w:pPr>
      <w:r>
        <w:rPr>
          <w:noProof/>
        </w:rPr>
        <w:drawing>
          <wp:inline distT="0" distB="0" distL="0" distR="0" wp14:anchorId="31C057CC" wp14:editId="1314DA74">
            <wp:extent cx="5170038" cy="320902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2636" cy="3254088"/>
                    </a:xfrm>
                    <a:prstGeom prst="rect">
                      <a:avLst/>
                    </a:prstGeom>
                    <a:noFill/>
                    <a:ln>
                      <a:noFill/>
                    </a:ln>
                  </pic:spPr>
                </pic:pic>
              </a:graphicData>
            </a:graphic>
          </wp:inline>
        </w:drawing>
      </w:r>
    </w:p>
    <w:p w14:paraId="1F7133FA" w14:textId="056B7630" w:rsidR="00CF092F" w:rsidRDefault="00CF092F" w:rsidP="00CF092F">
      <w:pPr>
        <w:rPr>
          <w:sz w:val="18"/>
          <w:szCs w:val="18"/>
        </w:rPr>
      </w:pPr>
      <w:r w:rsidRPr="00CF092F">
        <w:rPr>
          <w:sz w:val="18"/>
          <w:szCs w:val="18"/>
        </w:rPr>
        <w:t xml:space="preserve">Figura </w:t>
      </w:r>
      <w:r w:rsidR="00E11112">
        <w:rPr>
          <w:sz w:val="18"/>
          <w:szCs w:val="18"/>
        </w:rPr>
        <w:t>8</w:t>
      </w:r>
      <w:r w:rsidRPr="00CF092F">
        <w:rPr>
          <w:sz w:val="18"/>
          <w:szCs w:val="18"/>
        </w:rPr>
        <w:t xml:space="preserve"> – Desenvolvimento do suporte para a lente GRIN e tampa protetora. O conjunto foi manufaturado em resina (impressora </w:t>
      </w:r>
      <w:proofErr w:type="spellStart"/>
      <w:r w:rsidRPr="00CF092F">
        <w:rPr>
          <w:i/>
          <w:iCs/>
          <w:sz w:val="18"/>
          <w:szCs w:val="18"/>
        </w:rPr>
        <w:t>Halot</w:t>
      </w:r>
      <w:proofErr w:type="spellEnd"/>
      <w:r w:rsidRPr="00CF092F">
        <w:rPr>
          <w:i/>
          <w:iCs/>
          <w:sz w:val="18"/>
          <w:szCs w:val="18"/>
        </w:rPr>
        <w:t xml:space="preserve"> Sky</w:t>
      </w:r>
      <w:r w:rsidRPr="00CF092F">
        <w:rPr>
          <w:sz w:val="18"/>
          <w:szCs w:val="18"/>
        </w:rPr>
        <w:t xml:space="preserve">)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w:t>
      </w:r>
      <w:r>
        <w:rPr>
          <w:sz w:val="18"/>
          <w:szCs w:val="18"/>
        </w:rPr>
        <w:t>definitiva do</w:t>
      </w:r>
      <w:r w:rsidRPr="00CF092F">
        <w:rPr>
          <w:sz w:val="18"/>
          <w:szCs w:val="18"/>
        </w:rPr>
        <w:t xml:space="preserve"> </w:t>
      </w:r>
      <w:r w:rsidRPr="00CF092F">
        <w:rPr>
          <w:i/>
          <w:iCs/>
          <w:sz w:val="18"/>
          <w:szCs w:val="18"/>
        </w:rPr>
        <w:t>baseplate</w:t>
      </w:r>
      <w:r w:rsidRPr="00CF092F">
        <w:rPr>
          <w:sz w:val="18"/>
          <w:szCs w:val="18"/>
        </w:rPr>
        <w:t>.</w:t>
      </w:r>
    </w:p>
    <w:p w14:paraId="28253982" w14:textId="77777777" w:rsidR="00CF092F" w:rsidRPr="00CF092F" w:rsidRDefault="00CF092F" w:rsidP="00CF092F">
      <w:pPr>
        <w:rPr>
          <w:sz w:val="18"/>
          <w:szCs w:val="18"/>
        </w:rPr>
      </w:pPr>
    </w:p>
    <w:p w14:paraId="5CDE6597" w14:textId="74E0AAF2" w:rsidR="00885C63" w:rsidRDefault="00885C63" w:rsidP="00885C63">
      <w:pPr>
        <w:pStyle w:val="Ttulo3"/>
      </w:pPr>
      <w:bookmarkStart w:id="21" w:name="_Toc216257241"/>
      <w:r>
        <w:rPr>
          <w:caps w:val="0"/>
        </w:rPr>
        <w:t>SUPORTE AUXILIAR PARA ESTABILIZAÇÃO DA LENTE NO ESTEREOTÁXICO</w:t>
      </w:r>
      <w:bookmarkEnd w:id="21"/>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lastRenderedPageBreak/>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085A6A31" w:rsidR="00CF092F" w:rsidRPr="00CF092F" w:rsidRDefault="00CF092F" w:rsidP="00CF092F">
      <w:pPr>
        <w:rPr>
          <w:sz w:val="18"/>
          <w:szCs w:val="18"/>
        </w:rPr>
      </w:pPr>
      <w:r w:rsidRPr="00CF092F">
        <w:rPr>
          <w:sz w:val="18"/>
          <w:szCs w:val="18"/>
        </w:rPr>
        <w:t xml:space="preserve">Figura </w:t>
      </w:r>
      <w:r w:rsidR="00E11112">
        <w:rPr>
          <w:sz w:val="18"/>
          <w:szCs w:val="18"/>
        </w:rPr>
        <w:t>9</w:t>
      </w:r>
      <w:r w:rsidRPr="00CF092F">
        <w:rPr>
          <w:sz w:val="18"/>
          <w:szCs w:val="18"/>
        </w:rPr>
        <w:t xml:space="preserve"> – Adaptador customizado para acoplamento do sistema ao aparelho estereotáxico.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w:t>
      </w:r>
      <w:r w:rsidRPr="00CF092F">
        <w:rPr>
          <w:i/>
          <w:iCs/>
          <w:sz w:val="18"/>
          <w:szCs w:val="18"/>
        </w:rPr>
        <w:t>design</w:t>
      </w:r>
      <w:r w:rsidRPr="00CF092F">
        <w:rPr>
          <w:sz w:val="18"/>
          <w:szCs w:val="18"/>
        </w:rPr>
        <w:t xml:space="preserve"> final priorizou a estabilidade mecânica e a minimização da ocupação espacial no campo cirúrgico, facilitando as manipulações intraoperatórias.</w:t>
      </w:r>
    </w:p>
    <w:p w14:paraId="6D5ECD4B" w14:textId="77777777" w:rsidR="00CF092F" w:rsidRDefault="00CF092F" w:rsidP="00CF092F"/>
    <w:p w14:paraId="7A35AF02" w14:textId="77777777" w:rsidR="0079009F" w:rsidRDefault="00457A3D" w:rsidP="00B73696">
      <w:pPr>
        <w:pStyle w:val="Ttulo1"/>
      </w:pPr>
      <w:bookmarkStart w:id="22" w:name="_Toc216257242"/>
      <w:r>
        <w:t>RESULTADOS</w:t>
      </w:r>
      <w:bookmarkEnd w:id="22"/>
    </w:p>
    <w:p w14:paraId="655562AA" w14:textId="77777777" w:rsidR="00260BB1" w:rsidRPr="00260BB1" w:rsidRDefault="00260BB1" w:rsidP="00260BB1"/>
    <w:p w14:paraId="6B93ADA7" w14:textId="18578E27" w:rsidR="001B2C3E" w:rsidRDefault="00E76E77" w:rsidP="00351C49">
      <w:pPr>
        <w:pStyle w:val="Ttulo2"/>
      </w:pPr>
      <w:bookmarkStart w:id="23" w:name="_Toc216257243"/>
      <w:r w:rsidRPr="001B2C3E">
        <w:rPr>
          <w:caps w:val="0"/>
        </w:rPr>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bookmarkEnd w:id="23"/>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lastRenderedPageBreak/>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11)=4,374; p=0,0011), assim como a análise automática BY (t(11)=4,748; p=0,0006). Em conjunto, a convergência dos resultados obtidos por diferentes métricas e métodos de quantificação sustenta solidamente a conclusão de que os animais expressaram memória social no Contexto A.</w:t>
      </w:r>
    </w:p>
    <w:p w14:paraId="4D4C3A45" w14:textId="6DACA342" w:rsidR="00BF12AF" w:rsidRDefault="00842CE4" w:rsidP="004E5005">
      <w:pPr>
        <w:keepNext/>
        <w:jc w:val="center"/>
      </w:pPr>
      <w:r>
        <w:rPr>
          <w:noProof/>
        </w:rPr>
        <w:lastRenderedPageBreak/>
        <w:drawing>
          <wp:inline distT="0" distB="0" distL="0" distR="0" wp14:anchorId="2C94994A" wp14:editId="572916E6">
            <wp:extent cx="5175849" cy="5714069"/>
            <wp:effectExtent l="0" t="0" r="635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948" cy="5822369"/>
                    </a:xfrm>
                    <a:prstGeom prst="rect">
                      <a:avLst/>
                    </a:prstGeom>
                    <a:noFill/>
                    <a:ln>
                      <a:noFill/>
                    </a:ln>
                  </pic:spPr>
                </pic:pic>
              </a:graphicData>
            </a:graphic>
          </wp:inline>
        </w:drawing>
      </w:r>
    </w:p>
    <w:p w14:paraId="130000A8" w14:textId="15E8E382" w:rsidR="004E5005" w:rsidRPr="00CF092F" w:rsidRDefault="00C96804" w:rsidP="00C96804">
      <w:pPr>
        <w:keepNext/>
        <w:rPr>
          <w:sz w:val="18"/>
          <w:szCs w:val="18"/>
        </w:rPr>
      </w:pPr>
      <w:r w:rsidRPr="00CF092F">
        <w:rPr>
          <w:sz w:val="18"/>
          <w:szCs w:val="18"/>
        </w:rPr>
        <w:t xml:space="preserve">Figura </w:t>
      </w:r>
      <w:r w:rsidR="00E11112">
        <w:rPr>
          <w:sz w:val="18"/>
          <w:szCs w:val="18"/>
        </w:rPr>
        <w:t>10</w:t>
      </w:r>
      <w:r w:rsidR="00CF092F">
        <w:rPr>
          <w:sz w:val="18"/>
          <w:szCs w:val="18"/>
        </w:rPr>
        <w:t xml:space="preserve"> - </w:t>
      </w:r>
      <w:r w:rsidRPr="00CF092F">
        <w:rPr>
          <w:sz w:val="18"/>
          <w:szCs w:val="18"/>
        </w:rPr>
        <w:t>Expressão de memória social no Contexto A.</w:t>
      </w:r>
      <w:r w:rsidR="00CF092F" w:rsidRPr="00CF092F">
        <w:rPr>
          <w:sz w:val="18"/>
          <w:szCs w:val="18"/>
        </w:rPr>
        <w:t xml:space="preserve"> </w:t>
      </w:r>
      <w:r w:rsidRPr="00CF092F">
        <w:rPr>
          <w:sz w:val="18"/>
          <w:szCs w:val="18"/>
        </w:rPr>
        <w:t xml:space="preserve">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w:t>
      </w:r>
      <w:proofErr w:type="spellStart"/>
      <w:r w:rsidRPr="00CF092F">
        <w:rPr>
          <w:sz w:val="18"/>
          <w:szCs w:val="18"/>
        </w:rPr>
        <w:t>Student</w:t>
      </w:r>
      <w:proofErr w:type="spellEnd"/>
      <w:r w:rsidR="00A62367" w:rsidRPr="00CF092F">
        <w:rPr>
          <w:sz w:val="18"/>
          <w:szCs w:val="18"/>
        </w:rPr>
        <w:t xml:space="preserve"> (Uma amostra para o IRS comparando com o valor hipotético de zero)</w:t>
      </w:r>
      <w:r w:rsidRPr="00CF092F">
        <w:rPr>
          <w:sz w:val="18"/>
          <w:szCs w:val="18"/>
        </w:rPr>
        <w:t>.</w:t>
      </w:r>
    </w:p>
    <w:p w14:paraId="5F57D135" w14:textId="77777777" w:rsidR="00C96804" w:rsidRDefault="00C96804" w:rsidP="001B2C3E">
      <w:pPr>
        <w:rPr>
          <w:sz w:val="20"/>
          <w:szCs w:val="20"/>
        </w:rPr>
      </w:pPr>
    </w:p>
    <w:p w14:paraId="1808CE9A" w14:textId="36C405AE" w:rsidR="001B2C3E" w:rsidRDefault="008D187E" w:rsidP="00351C49">
      <w:pPr>
        <w:pStyle w:val="Ttulo2"/>
      </w:pPr>
      <w:bookmarkStart w:id="24" w:name="_Toc216257244"/>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bookmarkEnd w:id="24"/>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11EF687B">
            <wp:extent cx="5493802" cy="616788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3114" t="5442" r="24559" b="11564"/>
                    <a:stretch/>
                  </pic:blipFill>
                  <pic:spPr bwMode="auto">
                    <a:xfrm>
                      <a:off x="0" y="0"/>
                      <a:ext cx="5625098" cy="6315293"/>
                    </a:xfrm>
                    <a:prstGeom prst="rect">
                      <a:avLst/>
                    </a:prstGeom>
                    <a:noFill/>
                    <a:ln>
                      <a:noFill/>
                    </a:ln>
                    <a:extLst>
                      <a:ext uri="{53640926-AAD7-44D8-BBD7-CCE9431645EC}">
                        <a14:shadowObscured xmlns:a14="http://schemas.microsoft.com/office/drawing/2010/main"/>
                      </a:ext>
                    </a:extLst>
                  </pic:spPr>
                </pic:pic>
              </a:graphicData>
            </a:graphic>
          </wp:inline>
        </w:drawing>
      </w:r>
    </w:p>
    <w:p w14:paraId="77C80B2D" w14:textId="3C26872F" w:rsidR="004E5005" w:rsidRPr="00CF092F" w:rsidRDefault="004E5005" w:rsidP="004E5005">
      <w:pPr>
        <w:rPr>
          <w:sz w:val="18"/>
          <w:szCs w:val="18"/>
        </w:rPr>
      </w:pPr>
      <w:r w:rsidRPr="00CF092F">
        <w:rPr>
          <w:sz w:val="18"/>
          <w:szCs w:val="18"/>
        </w:rPr>
        <w:t>Figura</w:t>
      </w:r>
      <w:r w:rsidR="00CF092F" w:rsidRPr="00CF092F">
        <w:rPr>
          <w:sz w:val="18"/>
          <w:szCs w:val="18"/>
        </w:rPr>
        <w:t xml:space="preserve"> 1</w:t>
      </w:r>
      <w:r w:rsidR="00E11112">
        <w:rPr>
          <w:sz w:val="18"/>
          <w:szCs w:val="18"/>
        </w:rPr>
        <w:t>1</w:t>
      </w:r>
      <w:r w:rsidR="00CF092F" w:rsidRPr="00CF092F">
        <w:rPr>
          <w:sz w:val="18"/>
          <w:szCs w:val="18"/>
        </w:rPr>
        <w:t xml:space="preserve"> -</w:t>
      </w:r>
      <w:r w:rsidRPr="00CF092F">
        <w:rPr>
          <w:sz w:val="18"/>
          <w:szCs w:val="18"/>
        </w:rPr>
        <w:t xml:space="preserve"> Expressão de memória social no Contexto B.</w:t>
      </w:r>
      <w:r w:rsidR="00CF092F" w:rsidRPr="00CF092F">
        <w:rPr>
          <w:sz w:val="18"/>
          <w:szCs w:val="18"/>
        </w:rPr>
        <w:t xml:space="preserve"> </w:t>
      </w:r>
      <w:r w:rsidRPr="00CF092F">
        <w:rPr>
          <w:sz w:val="18"/>
          <w:szCs w:val="18"/>
        </w:rPr>
        <w:t xml:space="preserve">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w:t>
      </w:r>
      <w:proofErr w:type="spellStart"/>
      <w:r w:rsidRPr="00CF092F">
        <w:rPr>
          <w:sz w:val="18"/>
          <w:szCs w:val="18"/>
        </w:rPr>
        <w:t>Student</w:t>
      </w:r>
      <w:proofErr w:type="spellEnd"/>
      <w:r w:rsidR="00C65393" w:rsidRPr="00CF092F">
        <w:rPr>
          <w:sz w:val="18"/>
          <w:szCs w:val="18"/>
        </w:rPr>
        <w:t xml:space="preserve"> (Uma amostra para o IRS comparando com o valor hipotético de zero)</w:t>
      </w:r>
      <w:r w:rsidRPr="00CF092F">
        <w:rPr>
          <w:sz w:val="18"/>
          <w:szCs w:val="18"/>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bookmarkStart w:id="25" w:name="_Toc216257245"/>
      <w:r>
        <w:rPr>
          <w:caps w:val="0"/>
        </w:rPr>
        <w:lastRenderedPageBreak/>
        <w:t>EXISTE UMA CORRELAÇÃO ENTRE A ANÁLISE AUTOMÁTICA E MANUAL</w:t>
      </w:r>
      <w:bookmarkEnd w:id="25"/>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6808952C" w14:textId="4B7A26AD" w:rsidR="00C96804" w:rsidRDefault="00C96804" w:rsidP="00C96804">
      <w:pPr>
        <w:rPr>
          <w:sz w:val="20"/>
          <w:szCs w:val="20"/>
        </w:rPr>
      </w:pPr>
      <w:r w:rsidRPr="00C96804">
        <w:rPr>
          <w:sz w:val="20"/>
          <w:szCs w:val="20"/>
        </w:rPr>
        <w:t xml:space="preserve">Figura </w:t>
      </w:r>
      <w:r w:rsidR="00CF092F">
        <w:rPr>
          <w:sz w:val="20"/>
          <w:szCs w:val="20"/>
        </w:rPr>
        <w:t>1</w:t>
      </w:r>
      <w:r w:rsidR="00E11112">
        <w:rPr>
          <w:sz w:val="20"/>
          <w:szCs w:val="20"/>
        </w:rPr>
        <w:t>2</w:t>
      </w:r>
      <w:r w:rsidR="00CF092F">
        <w:rPr>
          <w:sz w:val="20"/>
          <w:szCs w:val="20"/>
        </w:rPr>
        <w:t xml:space="preserve"> -</w:t>
      </w:r>
      <w:r w:rsidRPr="00C96804">
        <w:rPr>
          <w:sz w:val="20"/>
          <w:szCs w:val="20"/>
        </w:rPr>
        <w:t xml:space="preserve"> Correlação entre os métodos de análise automático e manual.</w:t>
      </w:r>
      <w:r w:rsidR="00CF092F">
        <w:rPr>
          <w:sz w:val="20"/>
          <w:szCs w:val="20"/>
        </w:rPr>
        <w:t xml:space="preserve"> </w:t>
      </w: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7777777" w:rsidR="00465C19" w:rsidRDefault="00465C19" w:rsidP="00C96804">
      <w:pPr>
        <w:rPr>
          <w:sz w:val="20"/>
          <w:szCs w:val="20"/>
        </w:rPr>
      </w:pPr>
    </w:p>
    <w:p w14:paraId="4449E580" w14:textId="0496FB59" w:rsidR="00465C19" w:rsidRDefault="00465C19" w:rsidP="008C05D2">
      <w:pPr>
        <w:pStyle w:val="Ttulo1"/>
      </w:pPr>
      <w:bookmarkStart w:id="26" w:name="_Toc216257246"/>
      <w:r>
        <w:t>DISCUSSÃO</w:t>
      </w:r>
      <w:bookmarkEnd w:id="26"/>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um papel crucial na codificação do contexto social. Embora a visão clássica sugira uma </w:t>
      </w:r>
      <w:r>
        <w:lastRenderedPageBreak/>
        <w:t>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 xml:space="preserve">Para compreender essa dinâmica, é fundamental considerar o substrato </w:t>
      </w:r>
      <w:proofErr w:type="spellStart"/>
      <w:r>
        <w:t>neuroanatômico</w:t>
      </w:r>
      <w:proofErr w:type="spellEnd"/>
      <w:r>
        <w:t xml:space="preserve"> da integração sensório-cognitiva. O córtex entorrinal atua como a principal porta de entrada de informações corticais para o hipocampo e é uma região chave para a integração multimodal (</w:t>
      </w:r>
      <w:proofErr w:type="spellStart"/>
      <w:r>
        <w:t>Basu</w:t>
      </w:r>
      <w:proofErr w:type="spellEnd"/>
      <w:r>
        <w:t xml:space="preserve"> et al., 2016). É plausível </w:t>
      </w:r>
      <w:proofErr w:type="spellStart"/>
      <w:r>
        <w:t>hipotetizar</w:t>
      </w:r>
      <w:proofErr w:type="spellEnd"/>
      <w:r>
        <w:t xml:space="preserve"> que, no Contexto B, a entrada massiva de novas informações espaciais tenha modulado a atividade hipocampal, resultando na alteração sutil do comportamento exploratório, sem, contudo, bloquear a via de reconhecimento social.</w:t>
      </w:r>
    </w:p>
    <w:p w14:paraId="48326493" w14:textId="7044399C" w:rsidR="00627488" w:rsidRDefault="00627488" w:rsidP="00627488">
      <w:pPr>
        <w:ind w:firstLine="720"/>
      </w:pPr>
      <w:r>
        <w:t>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w:t>
      </w:r>
      <w:r w:rsidR="004622E5">
        <w:t>e.</w:t>
      </w:r>
      <w:r>
        <w:t xml:space="preserve"> A ausência de prejuízos motores significativos no Contexto B reforça a interpretação de que a redução na investigação social reflete processos cognitivos de alocação de atenção, e não uma incapacidade motora.</w:t>
      </w:r>
    </w:p>
    <w:p w14:paraId="223C0C54" w14:textId="145698D7" w:rsidR="00627488" w:rsidRDefault="00627488" w:rsidP="00627488">
      <w:pPr>
        <w:ind w:firstLine="720"/>
      </w:pPr>
      <w:r>
        <w:lastRenderedPageBreak/>
        <w:t xml:space="preserve">A fim de investigar os mecanismos neurais subjacentes a essa integração entre memória social e espacial, estudos futuros se fazem necessários. O uso </w:t>
      </w:r>
      <w:r w:rsidR="004622E5">
        <w:t>do protocolo</w:t>
      </w:r>
      <w:r>
        <w:t xml:space="preserve"> de registro </w:t>
      </w:r>
      <w:r w:rsidR="004622E5">
        <w:t>de cálcio</w:t>
      </w:r>
      <w:r>
        <w:t xml:space="preserve"> em animais livres</w:t>
      </w:r>
      <w:r w:rsidR="004622E5">
        <w:t xml:space="preserve"> padronizado</w:t>
      </w:r>
      <w:r>
        <w:t>,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5EA81487" w:rsidR="00627488" w:rsidRDefault="00627488" w:rsidP="00627488">
      <w:pPr>
        <w:ind w:firstLine="720"/>
      </w:pPr>
      <w:r>
        <w:t>Paralelamente aos achados biológicos, este trabalho validou uma ferramenta de análise comportamental automatizada (Behavython).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 xml:space="preserve">Contudo, a automação não é isenta de limitações. A eficácia da ferramenta depende da qualidade do treinamento inicial da rede neural, exigindo um conjunto de dados rotulados manualmente que seja representativo. Erros de detecção podem ocorrer em condições de iluminação </w:t>
      </w:r>
      <w:proofErr w:type="spellStart"/>
      <w:r>
        <w:t>subótimas</w:t>
      </w:r>
      <w:proofErr w:type="spellEnd"/>
      <w:r>
        <w:t>,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48BD0775" w:rsidR="0088724E" w:rsidRDefault="00627488" w:rsidP="00627488">
      <w:pPr>
        <w:ind w:firstLine="720"/>
      </w:pPr>
      <w:r>
        <w:t xml:space="preserve">Como perspectivas futuras para o desenvolvimento tecnológico, prevê-se a incorporação de algoritmos de aprendizado de máquina adicionais (como classificadores </w:t>
      </w:r>
      <w:r>
        <w:lastRenderedPageBreak/>
        <w:t xml:space="preserve">supervisionados pós-pose) para refinar a precisão na detecção de comportamentos específicos, como </w:t>
      </w:r>
      <w:proofErr w:type="spellStart"/>
      <w:r>
        <w:t>rearing</w:t>
      </w:r>
      <w:r w:rsidR="0088724E">
        <w:t>s</w:t>
      </w:r>
      <w:proofErr w:type="spellEnd"/>
      <w:r w:rsidR="004622E5">
        <w:t xml:space="preserve"> bem como a implementação e utilização do imageamento de cálcio para conferir robustez à integração dos mecanismos neurais subjacentes a essa integração entre memória social e espacial.</w:t>
      </w:r>
    </w:p>
    <w:p w14:paraId="2BCE02E5" w14:textId="633F0DE8" w:rsidR="00627488" w:rsidRDefault="00627488" w:rsidP="00627488">
      <w:pPr>
        <w:ind w:firstLine="720"/>
      </w:pPr>
      <w:r>
        <w:t>A integração com outros softwares de análise comportamental e a expansão para análise de interações sociais complexas entre múltiplos animais livres são caminhos promissores para a evolução desta ferramenta.</w:t>
      </w:r>
    </w:p>
    <w:p w14:paraId="0897821E" w14:textId="77777777" w:rsidR="00627488" w:rsidRPr="00446F78" w:rsidRDefault="00627488" w:rsidP="00627488"/>
    <w:p w14:paraId="2383A71E" w14:textId="75316E1F" w:rsidR="0088724E" w:rsidRPr="0088724E" w:rsidRDefault="00465C19" w:rsidP="0088724E">
      <w:pPr>
        <w:pStyle w:val="Ttulo1"/>
      </w:pPr>
      <w:bookmarkStart w:id="27" w:name="_Toc216257247"/>
      <w:r>
        <w:t>CONCLUSÃO</w:t>
      </w:r>
      <w:bookmarkEnd w:id="27"/>
    </w:p>
    <w:p w14:paraId="33D9FAAF" w14:textId="0D6BA1F8" w:rsidR="0088724E" w:rsidRDefault="0088724E" w:rsidP="0088724E">
      <w:pPr>
        <w:ind w:firstLine="720"/>
      </w:pPr>
      <w:r>
        <w:t>Esta dissertação investigou a interação entre os componentes espacial e social da memória episódica em camundongos C57BL/6, ao mesmo tempo em que validou uma nova ferramenta automatizada para análise comportamental. Os resultados indicam que a memória de reconhecimento social é um fenômeno robusto e flexível: mesmo diante de uma alteração drástica do contexto espacial, os animais mantiveram a capacidade de reconhecer o conspecífico familiar, sugerindo que a representação da identidade social no hipocampo apresenta autonomia funcional frente ao remapeamento ambiental.</w:t>
      </w:r>
    </w:p>
    <w:p w14:paraId="2B51937C" w14:textId="62EB62F8" w:rsidR="0088724E" w:rsidRDefault="0088724E" w:rsidP="0088724E">
      <w:pPr>
        <w:ind w:firstLine="720"/>
      </w:pPr>
      <w:r>
        <w:t>Além disso, a ferramenta automatizada desenvolvida, baseada em estimativa de pose por DeepLabCut, demonstrou alta confiabilidade, evidenciada pela forte correlação com a análise manual. Em conjunto, o estudo avança a compreensão da integração entre contexto e memória social e disponibiliza à comunidade científica uma solução open-</w:t>
      </w:r>
      <w:proofErr w:type="spellStart"/>
      <w:r>
        <w:t>source</w:t>
      </w:r>
      <w:proofErr w:type="spellEnd"/>
      <w:r>
        <w:t xml:space="preserve"> precisa, objetiva e escalável para a neurociência comportamental.</w:t>
      </w:r>
    </w:p>
    <w:p w14:paraId="371CB18D" w14:textId="2C35D4A0" w:rsidR="000C7CC2" w:rsidRDefault="000C7CC2" w:rsidP="00446F78"/>
    <w:p w14:paraId="282AC7B5" w14:textId="7B40AB1E" w:rsidR="0088724E" w:rsidRDefault="0088724E" w:rsidP="00446F78"/>
    <w:p w14:paraId="2EC8B919" w14:textId="6571BEB5" w:rsidR="0088724E" w:rsidRDefault="0088724E" w:rsidP="00446F78"/>
    <w:p w14:paraId="57AE22A9" w14:textId="77777777" w:rsidR="0088724E" w:rsidRDefault="0088724E" w:rsidP="00446F78"/>
    <w:p w14:paraId="7B82B688" w14:textId="60A16F6C" w:rsidR="0088724E" w:rsidRDefault="0088724E" w:rsidP="00446F78"/>
    <w:p w14:paraId="087D57BE" w14:textId="77777777" w:rsidR="0088724E" w:rsidRPr="00446F78" w:rsidRDefault="0088724E" w:rsidP="00446F78"/>
    <w:p w14:paraId="4C2378A7" w14:textId="07D8742A" w:rsidR="00465C19" w:rsidRDefault="00465C19" w:rsidP="008C05D2">
      <w:pPr>
        <w:pStyle w:val="Ttulo1"/>
      </w:pPr>
      <w:bookmarkStart w:id="28" w:name="_Toc216257248"/>
      <w:r>
        <w:lastRenderedPageBreak/>
        <w:t>REFERÊNCIAS</w:t>
      </w:r>
      <w:bookmarkEnd w:id="28"/>
    </w:p>
    <w:p w14:paraId="49B24484" w14:textId="77777777" w:rsidR="00C61683" w:rsidRPr="00C61683" w:rsidRDefault="006057BE" w:rsidP="00C61683">
      <w:pPr>
        <w:pStyle w:val="Bibliografia"/>
        <w:rPr>
          <w:rFonts w:cs="Arial"/>
          <w:lang w:val="en-US"/>
        </w:rPr>
      </w:pPr>
      <w:r>
        <w:fldChar w:fldCharType="begin"/>
      </w:r>
      <w:r w:rsidRPr="00420738">
        <w:instrText xml:space="preserve"> ADDIN ZOTERO_BIBL {"uncited":[],"omitted":[],"custom":[]} CSL_BIBLIOGRAPHY </w:instrText>
      </w:r>
      <w:r>
        <w:fldChar w:fldCharType="separate"/>
      </w:r>
      <w:r w:rsidR="00C61683" w:rsidRPr="00420738">
        <w:rPr>
          <w:rFonts w:cs="Arial"/>
        </w:rPr>
        <w:t xml:space="preserve">Addis, D. R. (2020). Mental time </w:t>
      </w:r>
      <w:proofErr w:type="spellStart"/>
      <w:r w:rsidR="00C61683" w:rsidRPr="00420738">
        <w:rPr>
          <w:rFonts w:cs="Arial"/>
        </w:rPr>
        <w:t>travel</w:t>
      </w:r>
      <w:proofErr w:type="spellEnd"/>
      <w:r w:rsidR="00C61683" w:rsidRPr="00420738">
        <w:rPr>
          <w:rFonts w:cs="Arial"/>
        </w:rPr>
        <w:t xml:space="preserve">? </w:t>
      </w:r>
      <w:r w:rsidR="00C61683" w:rsidRPr="00C61683">
        <w:rPr>
          <w:rFonts w:cs="Arial"/>
          <w:lang w:val="en-US"/>
        </w:rPr>
        <w:t xml:space="preserve">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Khakh,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Pleydell-Pearce,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Wangia,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r w:rsidRPr="00C61683">
        <w:rPr>
          <w:rFonts w:cs="Arial"/>
          <w:lang w:val="en-US"/>
        </w:rPr>
        <w:lastRenderedPageBreak/>
        <w:t xml:space="preserve">d’Isa, R., &amp; Gerlai,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r w:rsidRPr="00C61683">
        <w:rPr>
          <w:rFonts w:cs="Arial"/>
          <w:lang w:val="en-US"/>
        </w:rPr>
        <w:t xml:space="preserve">Dudai,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r w:rsidRPr="00C61683">
        <w:rPr>
          <w:rFonts w:cs="Arial"/>
          <w:lang w:val="en-US"/>
        </w:rPr>
        <w:t xml:space="preserve">Fanselow,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r w:rsidRPr="00C61683">
        <w:rPr>
          <w:rFonts w:cs="Arial"/>
          <w:lang w:val="en-US"/>
        </w:rPr>
        <w:t xml:space="preserve">Fivush, R., &amp; Grysman,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Nimmerjahn,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r w:rsidRPr="00C61683">
        <w:rPr>
          <w:rFonts w:cs="Arial"/>
        </w:rPr>
        <w:lastRenderedPageBreak/>
        <w:t xml:space="preserve">Insel, T. R., &amp; Fernald,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r w:rsidRPr="00C61683">
        <w:rPr>
          <w:rFonts w:cs="Arial"/>
          <w:lang w:val="en-US"/>
        </w:rPr>
        <w:t xml:space="preserve">Markowitsch, H. J., &amp; Staniloiu,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Mamidanna, P., Cury, K. M., Abe, T., Murthy, V. N., Mathis, M. W., &amp; Bethge, M. (2018). DeepLabCut: Markerless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lastRenderedPageBreak/>
        <w:t xml:space="preserve">Nath, T., Mathis, A., Chen, A. C., Patel, A., Bethge, M., &amp; Mathis, M. W. (2019). Using DeepLabCut for 3D markerless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Wotjak,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Kosyk, O., &amp; Stuber, G. D. (2016). Visualization of cortical, subcortical and deep brain neural circuit dynamics during naturalistic </w:t>
      </w:r>
      <w:r w:rsidRPr="00C61683">
        <w:rPr>
          <w:rFonts w:cs="Arial"/>
          <w:lang w:val="en-US"/>
        </w:rPr>
        <w:lastRenderedPageBreak/>
        <w:t xml:space="preserve">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Mizumori, S. J. Y. (2006). Hippocampal place cells, context, and episodic memory. </w:t>
      </w:r>
      <w:r w:rsidRPr="00C61683">
        <w:rPr>
          <w:rFonts w:cs="Arial"/>
          <w:i/>
          <w:iCs/>
        </w:rPr>
        <w:t>Hippocampus</w:t>
      </w:r>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r w:rsidRPr="00C61683">
        <w:rPr>
          <w:rFonts w:cs="Arial"/>
        </w:rPr>
        <w:t xml:space="preserve">Spreng,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The Hippocampus book</w:t>
      </w:r>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Yiu, E., Ophir, A. G., &amp; Smith, D. M. (2023). Effects of social context manipulation on dorsal and ventral hippocampal neuronal responses. </w:t>
      </w:r>
      <w:r w:rsidRPr="00C61683">
        <w:rPr>
          <w:rFonts w:cs="Arial"/>
          <w:i/>
          <w:iCs/>
        </w:rPr>
        <w:t>Hippocampus</w:t>
      </w:r>
      <w:r w:rsidRPr="00C61683">
        <w:rPr>
          <w:rFonts w:cs="Arial"/>
        </w:rPr>
        <w:t xml:space="preserve">, </w:t>
      </w:r>
      <w:r w:rsidRPr="00C61683">
        <w:rPr>
          <w:rFonts w:cs="Arial"/>
          <w:i/>
          <w:iCs/>
        </w:rPr>
        <w:t>33</w:t>
      </w:r>
      <w:r w:rsidRPr="00C61683">
        <w:rPr>
          <w:rFonts w:cs="Arial"/>
        </w:rPr>
        <w:t>(7), 830–843. https://doi.org/10.1002/hipo.23507</w:t>
      </w:r>
    </w:p>
    <w:p w14:paraId="1BE5EBAD" w14:textId="77777777" w:rsidR="0024272B" w:rsidRDefault="006057BE" w:rsidP="00885C63">
      <w:r>
        <w:fldChar w:fldCharType="end"/>
      </w:r>
      <w:r w:rsidR="008D187E">
        <w:br w:type="page"/>
      </w:r>
      <w:r w:rsidR="0024272B">
        <w:lastRenderedPageBreak/>
        <w:t>ANEXO I – Certificado da 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C3C6B4" w14:textId="77777777" w:rsidR="00033749" w:rsidRDefault="00033749" w:rsidP="005E4CC1">
      <w:pPr>
        <w:spacing w:line="240" w:lineRule="auto"/>
      </w:pPr>
      <w:r>
        <w:separator/>
      </w:r>
    </w:p>
  </w:endnote>
  <w:endnote w:type="continuationSeparator" w:id="0">
    <w:p w14:paraId="36742347" w14:textId="77777777" w:rsidR="00033749" w:rsidRDefault="00033749"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F6D8" w14:textId="7BCC94D4" w:rsidR="006F1902" w:rsidRDefault="006F190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F6B86" w14:textId="77777777" w:rsidR="00033749" w:rsidRDefault="00033749" w:rsidP="005E4CC1">
      <w:pPr>
        <w:spacing w:line="240" w:lineRule="auto"/>
      </w:pPr>
      <w:r>
        <w:separator/>
      </w:r>
    </w:p>
  </w:footnote>
  <w:footnote w:type="continuationSeparator" w:id="0">
    <w:p w14:paraId="21400C55" w14:textId="77777777" w:rsidR="00033749" w:rsidRDefault="00033749"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CDFD" w14:textId="73506A1F" w:rsidR="00261734" w:rsidRDefault="00261734" w:rsidP="00261734">
    <w:pPr>
      <w:pStyle w:val="Cabealh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25088"/>
    <w:rsid w:val="00030E25"/>
    <w:rsid w:val="000325E6"/>
    <w:rsid w:val="00033749"/>
    <w:rsid w:val="00035090"/>
    <w:rsid w:val="00042AF3"/>
    <w:rsid w:val="0006726C"/>
    <w:rsid w:val="0007500D"/>
    <w:rsid w:val="000B63E8"/>
    <w:rsid w:val="000C7CC2"/>
    <w:rsid w:val="001016C2"/>
    <w:rsid w:val="001023CC"/>
    <w:rsid w:val="00166C99"/>
    <w:rsid w:val="001804C9"/>
    <w:rsid w:val="0018726E"/>
    <w:rsid w:val="001B2C3E"/>
    <w:rsid w:val="001C00B4"/>
    <w:rsid w:val="001C260B"/>
    <w:rsid w:val="002154EB"/>
    <w:rsid w:val="0024272B"/>
    <w:rsid w:val="002579F7"/>
    <w:rsid w:val="00260BB1"/>
    <w:rsid w:val="00261734"/>
    <w:rsid w:val="002A5923"/>
    <w:rsid w:val="002F6043"/>
    <w:rsid w:val="00304D76"/>
    <w:rsid w:val="00310B66"/>
    <w:rsid w:val="00321CC4"/>
    <w:rsid w:val="00351B0C"/>
    <w:rsid w:val="00351C49"/>
    <w:rsid w:val="003A4D7D"/>
    <w:rsid w:val="003C219E"/>
    <w:rsid w:val="00417C08"/>
    <w:rsid w:val="00420738"/>
    <w:rsid w:val="00424DA9"/>
    <w:rsid w:val="0043078A"/>
    <w:rsid w:val="0044255F"/>
    <w:rsid w:val="00446F78"/>
    <w:rsid w:val="00457A3D"/>
    <w:rsid w:val="004622E5"/>
    <w:rsid w:val="00462D8B"/>
    <w:rsid w:val="00465C19"/>
    <w:rsid w:val="004734E5"/>
    <w:rsid w:val="00475149"/>
    <w:rsid w:val="004C7A39"/>
    <w:rsid w:val="004E5005"/>
    <w:rsid w:val="00505D34"/>
    <w:rsid w:val="00530174"/>
    <w:rsid w:val="0053218F"/>
    <w:rsid w:val="0053738F"/>
    <w:rsid w:val="00540444"/>
    <w:rsid w:val="005442FE"/>
    <w:rsid w:val="0056773A"/>
    <w:rsid w:val="00572601"/>
    <w:rsid w:val="00573678"/>
    <w:rsid w:val="00586FB8"/>
    <w:rsid w:val="00597A3E"/>
    <w:rsid w:val="005E4CC1"/>
    <w:rsid w:val="006036AA"/>
    <w:rsid w:val="006057BE"/>
    <w:rsid w:val="00620071"/>
    <w:rsid w:val="00627488"/>
    <w:rsid w:val="0068033D"/>
    <w:rsid w:val="00682159"/>
    <w:rsid w:val="0069643E"/>
    <w:rsid w:val="006F1902"/>
    <w:rsid w:val="007014F4"/>
    <w:rsid w:val="00704B65"/>
    <w:rsid w:val="00712903"/>
    <w:rsid w:val="00742421"/>
    <w:rsid w:val="0076280B"/>
    <w:rsid w:val="0079009F"/>
    <w:rsid w:val="007B5C9D"/>
    <w:rsid w:val="007B62B6"/>
    <w:rsid w:val="007F1860"/>
    <w:rsid w:val="007F237D"/>
    <w:rsid w:val="00832D58"/>
    <w:rsid w:val="00842CE4"/>
    <w:rsid w:val="00880F9E"/>
    <w:rsid w:val="00885C63"/>
    <w:rsid w:val="0088724E"/>
    <w:rsid w:val="00892223"/>
    <w:rsid w:val="008948BA"/>
    <w:rsid w:val="008A5BC3"/>
    <w:rsid w:val="008C05D2"/>
    <w:rsid w:val="008C4F82"/>
    <w:rsid w:val="008C6D78"/>
    <w:rsid w:val="008D187E"/>
    <w:rsid w:val="008F58F3"/>
    <w:rsid w:val="00904B0A"/>
    <w:rsid w:val="00955D8F"/>
    <w:rsid w:val="0096274D"/>
    <w:rsid w:val="009B1A94"/>
    <w:rsid w:val="009D1804"/>
    <w:rsid w:val="00A33243"/>
    <w:rsid w:val="00A34188"/>
    <w:rsid w:val="00A62367"/>
    <w:rsid w:val="00AB7B37"/>
    <w:rsid w:val="00AF086A"/>
    <w:rsid w:val="00AF4CFC"/>
    <w:rsid w:val="00B01F94"/>
    <w:rsid w:val="00B03788"/>
    <w:rsid w:val="00B203D9"/>
    <w:rsid w:val="00B45A02"/>
    <w:rsid w:val="00B56735"/>
    <w:rsid w:val="00B73696"/>
    <w:rsid w:val="00B96AF0"/>
    <w:rsid w:val="00BA3825"/>
    <w:rsid w:val="00BC11B2"/>
    <w:rsid w:val="00BC6084"/>
    <w:rsid w:val="00BF12AF"/>
    <w:rsid w:val="00C4787C"/>
    <w:rsid w:val="00C61683"/>
    <w:rsid w:val="00C65393"/>
    <w:rsid w:val="00C90858"/>
    <w:rsid w:val="00C914E6"/>
    <w:rsid w:val="00C96804"/>
    <w:rsid w:val="00CA6B30"/>
    <w:rsid w:val="00CD5A46"/>
    <w:rsid w:val="00CE2069"/>
    <w:rsid w:val="00CF092F"/>
    <w:rsid w:val="00D031D3"/>
    <w:rsid w:val="00D5697F"/>
    <w:rsid w:val="00DC18F6"/>
    <w:rsid w:val="00DE7DB5"/>
    <w:rsid w:val="00E050AE"/>
    <w:rsid w:val="00E11112"/>
    <w:rsid w:val="00E76E77"/>
    <w:rsid w:val="00E83B86"/>
    <w:rsid w:val="00E86144"/>
    <w:rsid w:val="00F1516F"/>
    <w:rsid w:val="00FA186D"/>
    <w:rsid w:val="00FE6340"/>
    <w:rsid w:val="00FF5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 w:type="character" w:styleId="nfase">
    <w:name w:val="Emphasis"/>
    <w:basedOn w:val="Fontepargpadro"/>
    <w:uiPriority w:val="20"/>
    <w:qFormat/>
    <w:rsid w:val="00B03788"/>
    <w:rPr>
      <w:i/>
      <w:iCs/>
    </w:rPr>
  </w:style>
  <w:style w:type="character" w:styleId="Forte">
    <w:name w:val="Strong"/>
    <w:basedOn w:val="Fontepargpadro"/>
    <w:uiPriority w:val="22"/>
    <w:qFormat/>
    <w:rsid w:val="00B03788"/>
    <w:rPr>
      <w:b/>
      <w:bCs/>
    </w:rPr>
  </w:style>
  <w:style w:type="paragraph" w:styleId="CabealhodoSumrio">
    <w:name w:val="TOC Heading"/>
    <w:basedOn w:val="Ttulo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Sumrio1">
    <w:name w:val="toc 1"/>
    <w:basedOn w:val="Normal"/>
    <w:next w:val="Normal"/>
    <w:autoRedefine/>
    <w:uiPriority w:val="39"/>
    <w:unhideWhenUsed/>
    <w:rsid w:val="007B5C9D"/>
    <w:pPr>
      <w:spacing w:after="100"/>
    </w:pPr>
  </w:style>
  <w:style w:type="paragraph" w:styleId="Sumrio2">
    <w:name w:val="toc 2"/>
    <w:basedOn w:val="Normal"/>
    <w:next w:val="Normal"/>
    <w:autoRedefine/>
    <w:uiPriority w:val="39"/>
    <w:unhideWhenUsed/>
    <w:rsid w:val="007B5C9D"/>
    <w:pPr>
      <w:spacing w:after="100"/>
      <w:ind w:left="240"/>
    </w:pPr>
  </w:style>
  <w:style w:type="paragraph" w:styleId="Sumrio3">
    <w:name w:val="toc 3"/>
    <w:basedOn w:val="Normal"/>
    <w:next w:val="Normal"/>
    <w:autoRedefine/>
    <w:uiPriority w:val="39"/>
    <w:unhideWhenUsed/>
    <w:rsid w:val="007B5C9D"/>
    <w:pPr>
      <w:spacing w:after="100"/>
      <w:ind w:left="480"/>
    </w:pPr>
  </w:style>
  <w:style w:type="character" w:styleId="Hyperlink">
    <w:name w:val="Hyperlink"/>
    <w:basedOn w:val="Fontepargpadro"/>
    <w:uiPriority w:val="99"/>
    <w:unhideWhenUsed/>
    <w:rsid w:val="007B5C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sv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svg"/><Relationship Id="rId22" Type="http://schemas.openxmlformats.org/officeDocument/2006/relationships/image" Target="media/image10.png"/><Relationship Id="rId27" Type="http://schemas.openxmlformats.org/officeDocument/2006/relationships/image" Target="media/image1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TotalTime>
  <Pages>1</Pages>
  <Words>28469</Words>
  <Characters>153734</Characters>
  <Application>Microsoft Office Word</Application>
  <DocSecurity>0</DocSecurity>
  <Lines>1281</Lines>
  <Paragraphs>363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17</cp:revision>
  <cp:lastPrinted>2025-12-10T15:08:00Z</cp:lastPrinted>
  <dcterms:created xsi:type="dcterms:W3CDTF">2025-12-10T14:01:00Z</dcterms:created>
  <dcterms:modified xsi:type="dcterms:W3CDTF">2025-12-10T15:23:00Z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